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042" w:rsidRDefault="00ED3079" w:rsidP="000D4042">
      <w:pPr>
        <w:pStyle w:val="Titel"/>
        <w:jc w:val="center"/>
        <w:rPr>
          <w:color w:val="538135" w:themeColor="accent6" w:themeShade="BF"/>
          <w:sz w:val="56"/>
          <w:szCs w:val="56"/>
        </w:rPr>
      </w:pPr>
      <w:r>
        <w:rPr>
          <w:noProof/>
          <w:color w:val="538135" w:themeColor="accent6" w:themeShade="BF"/>
          <w:szCs w:val="72"/>
          <w:lang w:eastAsia="de-DE"/>
        </w:rPr>
        <w:drawing>
          <wp:anchor distT="114300" distB="114300" distL="114300" distR="114300" simplePos="0" relativeHeight="251662336" behindDoc="1" locked="0" layoutInCell="1" allowOverlap="1" wp14:anchorId="61B56CC2" wp14:editId="081A2CBD">
            <wp:simplePos x="0" y="0"/>
            <wp:positionH relativeFrom="margin">
              <wp:posOffset>205105</wp:posOffset>
            </wp:positionH>
            <wp:positionV relativeFrom="paragraph">
              <wp:posOffset>0</wp:posOffset>
            </wp:positionV>
            <wp:extent cx="1194435" cy="960120"/>
            <wp:effectExtent l="0" t="0" r="5715" b="0"/>
            <wp:wrapTight wrapText="bothSides">
              <wp:wrapPolygon edited="0">
                <wp:start x="0" y="0"/>
                <wp:lineTo x="0" y="21000"/>
                <wp:lineTo x="21359" y="21000"/>
                <wp:lineTo x="21359" y="0"/>
                <wp:lineTo x="0" y="0"/>
              </wp:wrapPolygon>
            </wp:wrapTight>
            <wp:docPr id="3" name="image1.png"/>
            <wp:cNvGraphicFramePr/>
            <a:graphic xmlns:a="http://schemas.openxmlformats.org/drawingml/2006/main">
              <a:graphicData uri="http://schemas.openxmlformats.org/drawingml/2006/picture">
                <pic:pic xmlns:pic="http://schemas.openxmlformats.org/drawingml/2006/picture">
                  <pic:nvPicPr>
                    <pic:cNvPr id="5" name="image1.png"/>
                    <pic:cNvPicPr/>
                  </pic:nvPicPr>
                  <pic:blipFill>
                    <a:blip r:embed="rId8"/>
                    <a:stretch/>
                  </pic:blipFill>
                  <pic:spPr bwMode="auto">
                    <a:xfrm>
                      <a:off x="0" y="0"/>
                      <a:ext cx="1194435" cy="960120"/>
                    </a:xfrm>
                    <a:prstGeom prst="rect">
                      <a:avLst/>
                    </a:prstGeom>
                    <a:ln/>
                  </pic:spPr>
                </pic:pic>
              </a:graphicData>
            </a:graphic>
            <wp14:sizeRelH relativeFrom="margin">
              <wp14:pctWidth>0</wp14:pctWidth>
            </wp14:sizeRelH>
            <wp14:sizeRelV relativeFrom="margin">
              <wp14:pctHeight>0</wp14:pctHeight>
            </wp14:sizeRelV>
          </wp:anchor>
        </w:drawing>
      </w:r>
      <w:r w:rsidR="00193988">
        <w:rPr>
          <w:noProof/>
          <w:color w:val="538135" w:themeColor="accent6" w:themeShade="BF"/>
          <w:szCs w:val="72"/>
          <w:lang w:eastAsia="de-DE"/>
        </w:rPr>
        <w:drawing>
          <wp:anchor distT="0" distB="0" distL="114300" distR="114300" simplePos="0" relativeHeight="251663360" behindDoc="0" locked="0" layoutInCell="1" allowOverlap="1" wp14:anchorId="15CB6906" wp14:editId="3788C925">
            <wp:simplePos x="0" y="0"/>
            <wp:positionH relativeFrom="margin">
              <wp:posOffset>4839970</wp:posOffset>
            </wp:positionH>
            <wp:positionV relativeFrom="paragraph">
              <wp:posOffset>0</wp:posOffset>
            </wp:positionV>
            <wp:extent cx="1095375" cy="962660"/>
            <wp:effectExtent l="0" t="0" r="8880" b="8253"/>
            <wp:wrapSquare wrapText="bothSides"/>
            <wp:docPr id="4" name="image2.png" descr="Kein automatischer Alternativtext verfÃ¼gbar."/>
            <wp:cNvGraphicFramePr/>
            <a:graphic xmlns:a="http://schemas.openxmlformats.org/drawingml/2006/main">
              <a:graphicData uri="http://schemas.openxmlformats.org/drawingml/2006/picture">
                <pic:pic xmlns:pic="http://schemas.openxmlformats.org/drawingml/2006/picture">
                  <pic:nvPicPr>
                    <pic:cNvPr id="4" name="image2.png" descr="Kein automatischer Alternativtext verfÃ¼gbar."/>
                    <pic:cNvPicPr/>
                  </pic:nvPicPr>
                  <pic:blipFill>
                    <a:blip r:embed="rId9"/>
                    <a:stretch/>
                  </pic:blipFill>
                  <pic:spPr bwMode="auto">
                    <a:xfrm>
                      <a:off x="0" y="0"/>
                      <a:ext cx="1095375" cy="962660"/>
                    </a:xfrm>
                    <a:prstGeom prst="rect">
                      <a:avLst/>
                    </a:prstGeom>
                    <a:ln/>
                  </pic:spPr>
                </pic:pic>
              </a:graphicData>
            </a:graphic>
            <wp14:sizeRelH relativeFrom="margin">
              <wp14:pctWidth>0</wp14:pctWidth>
            </wp14:sizeRelH>
            <wp14:sizeRelV relativeFrom="margin">
              <wp14:pctHeight>0</wp14:pctHeight>
            </wp14:sizeRelV>
          </wp:anchor>
        </w:drawing>
      </w:r>
      <w:r w:rsidR="0044410B">
        <w:rPr>
          <w:color w:val="538135" w:themeColor="accent6" w:themeShade="BF"/>
          <w:szCs w:val="72"/>
        </w:rPr>
        <w:t>FACT SHEET</w:t>
      </w:r>
    </w:p>
    <w:p w:rsidR="00193988" w:rsidRPr="00193988" w:rsidRDefault="00193988" w:rsidP="000D4042">
      <w:pPr>
        <w:pStyle w:val="Titel"/>
        <w:jc w:val="center"/>
        <w:rPr>
          <w:color w:val="538135" w:themeColor="accent6" w:themeShade="BF"/>
          <w:sz w:val="24"/>
          <w:szCs w:val="24"/>
        </w:rPr>
      </w:pPr>
    </w:p>
    <w:p w:rsidR="00C70A52" w:rsidRPr="000D4042" w:rsidRDefault="00ED3079" w:rsidP="000D4042">
      <w:pPr>
        <w:pStyle w:val="Titel"/>
        <w:jc w:val="center"/>
        <w:rPr>
          <w:color w:val="538135" w:themeColor="accent6" w:themeShade="BF"/>
          <w:sz w:val="56"/>
          <w:szCs w:val="56"/>
        </w:rPr>
      </w:pPr>
      <w:r>
        <w:rPr>
          <w:noProof/>
          <w:lang w:eastAsia="de-DE"/>
        </w:rPr>
        <mc:AlternateContent>
          <mc:Choice Requires="wps">
            <w:drawing>
              <wp:anchor distT="0" distB="0" distL="114300" distR="114300" simplePos="0" relativeHeight="251662847" behindDoc="0" locked="0" layoutInCell="1" allowOverlap="1" wp14:anchorId="5AFDD64F" wp14:editId="571380E5">
                <wp:simplePos x="0" y="0"/>
                <wp:positionH relativeFrom="margin">
                  <wp:posOffset>-104775</wp:posOffset>
                </wp:positionH>
                <wp:positionV relativeFrom="paragraph">
                  <wp:posOffset>217805</wp:posOffset>
                </wp:positionV>
                <wp:extent cx="3743325" cy="1819275"/>
                <wp:effectExtent l="19050" t="0" r="47625" b="47625"/>
                <wp:wrapNone/>
                <wp:docPr id="1" name="Cloud 3"/>
                <wp:cNvGraphicFramePr/>
                <a:graphic xmlns:a="http://schemas.openxmlformats.org/drawingml/2006/main">
                  <a:graphicData uri="http://schemas.microsoft.com/office/word/2010/wordprocessingShape">
                    <wps:wsp>
                      <wps:cNvSpPr/>
                      <wps:spPr bwMode="auto">
                        <a:xfrm>
                          <a:off x="0" y="0"/>
                          <a:ext cx="3743325" cy="1819275"/>
                        </a:xfrm>
                        <a:prstGeom prst="cloud">
                          <a:avLst/>
                        </a:prstGeom>
                      </wps:spPr>
                      <wps:style>
                        <a:lnRef idx="2">
                          <a:schemeClr val="accent6"/>
                        </a:lnRef>
                        <a:fillRef idx="1">
                          <a:schemeClr val="lt1"/>
                        </a:fillRef>
                        <a:effectRef idx="0">
                          <a:schemeClr val="accent6"/>
                        </a:effectRef>
                        <a:fontRef idx="minor">
                          <a:schemeClr val="dk1"/>
                        </a:fontRef>
                      </wps:style>
                      <wps:txbx>
                        <w:txbxContent>
                          <w:p w:rsidR="00C70A52" w:rsidRDefault="0044410B" w:rsidP="00ED3079">
                            <w:pPr>
                              <w:spacing w:line="240" w:lineRule="auto"/>
                              <w:jc w:val="center"/>
                              <w:rPr>
                                <w:b/>
                                <w:sz w:val="24"/>
                                <w:szCs w:val="24"/>
                              </w:rPr>
                            </w:pPr>
                            <w:r>
                              <w:rPr>
                                <w:b/>
                                <w:sz w:val="24"/>
                                <w:szCs w:val="24"/>
                              </w:rPr>
                              <w:t>Seelische Gesundheit</w:t>
                            </w:r>
                          </w:p>
                          <w:p w:rsidR="00C70A52" w:rsidRDefault="0044410B">
                            <w:pPr>
                              <w:jc w:val="center"/>
                            </w:pPr>
                            <w:r>
                              <w:t>Ihr emotionales, psychisches und soziales Wohlbefinden, einschließlich der Widerstandsfähigkeit gegen Stressfaktoren.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DD64F" id="Cloud 3" o:spid="_x0000_s1026" style="position:absolute;left:0;text-align:left;margin-left:-8.25pt;margin-top:17.15pt;width:294.75pt;height:143.25pt;z-index:2516628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01]" strokecolor="#70ad47 [3209]" strokeweight="1pt">
                <v:stroke joinstyle="miter"/>
                <v:formulas/>
                <v:path arrowok="t" o:connecttype="custom" o:connectlocs="406653,1102388;187166,1068824;600318,1469696;504309,1485741;1427836,1646191;1369953,1572915;2497890,1463464;2474754,1543857;2957313,966658;3239016,1267176;3621840,646601;3496370,759295;3320815,228504;3327400,281735;2519639,166430;2583934,98544;1918541,198773;1949648,140236;1213115,218650;1325761,275418;357609,664920;337939,605162" o:connectangles="0,0,0,0,0,0,0,0,0,0,0,0,0,0,0,0,0,0,0,0,0,0" textboxrect="0,0,43200,43200"/>
                <v:textbox>
                  <w:txbxContent>
                    <w:p w:rsidR="00C70A52" w:rsidRDefault="0044410B" w:rsidP="00ED3079">
                      <w:pPr>
                        <w:spacing w:line="240" w:lineRule="auto"/>
                        <w:jc w:val="center"/>
                        <w:rPr>
                          <w:b/>
                          <w:sz w:val="24"/>
                          <w:szCs w:val="24"/>
                        </w:rPr>
                      </w:pPr>
                      <w:r>
                        <w:rPr>
                          <w:b/>
                          <w:sz w:val="24"/>
                          <w:szCs w:val="24"/>
                        </w:rPr>
                        <w:t>Seelische Gesundheit</w:t>
                      </w:r>
                    </w:p>
                    <w:p w:rsidR="00C70A52" w:rsidRDefault="0044410B">
                      <w:pPr>
                        <w:jc w:val="center"/>
                      </w:pPr>
                      <w:r>
                        <w:t>Ihr emotionales, psychisches und soziales Wohlbefinden, einschließlich der Widerstandsfähigkeit gegen Stressfaktoren.</w:t>
                      </w:r>
                    </w:p>
                  </w:txbxContent>
                </v:textbox>
                <w10:wrap anchorx="margin"/>
              </v:shape>
            </w:pict>
          </mc:Fallback>
        </mc:AlternateContent>
      </w:r>
      <w:r>
        <w:rPr>
          <w:noProof/>
          <w:lang w:eastAsia="de-DE"/>
        </w:rPr>
        <mc:AlternateContent>
          <mc:Choice Requires="wps">
            <w:drawing>
              <wp:anchor distT="0" distB="0" distL="114300" distR="114300" simplePos="0" relativeHeight="251660288" behindDoc="0" locked="0" layoutInCell="1" allowOverlap="1" wp14:anchorId="1923221A" wp14:editId="73E007AC">
                <wp:simplePos x="0" y="0"/>
                <wp:positionH relativeFrom="column">
                  <wp:posOffset>3752850</wp:posOffset>
                </wp:positionH>
                <wp:positionV relativeFrom="paragraph">
                  <wp:posOffset>427355</wp:posOffset>
                </wp:positionV>
                <wp:extent cx="2571750" cy="1609725"/>
                <wp:effectExtent l="0" t="0" r="19050" b="28575"/>
                <wp:wrapNone/>
                <wp:docPr id="2" name="Rectangle 4"/>
                <wp:cNvGraphicFramePr/>
                <a:graphic xmlns:a="http://schemas.openxmlformats.org/drawingml/2006/main">
                  <a:graphicData uri="http://schemas.microsoft.com/office/word/2010/wordprocessingShape">
                    <wps:wsp>
                      <wps:cNvSpPr/>
                      <wps:spPr bwMode="auto">
                        <a:xfrm>
                          <a:off x="0" y="0"/>
                          <a:ext cx="2571750" cy="1609725"/>
                        </a:xfrm>
                        <a:prstGeom prst="rect">
                          <a:avLst/>
                        </a:prstGeom>
                      </wps:spPr>
                      <wps:style>
                        <a:lnRef idx="2">
                          <a:schemeClr val="accent6"/>
                        </a:lnRef>
                        <a:fillRef idx="1">
                          <a:schemeClr val="lt1"/>
                        </a:fillRef>
                        <a:effectRef idx="0">
                          <a:schemeClr val="accent6"/>
                        </a:effectRef>
                        <a:fontRef idx="minor">
                          <a:schemeClr val="dk1"/>
                        </a:fontRef>
                      </wps:style>
                      <wps:txbx>
                        <w:txbxContent>
                          <w:p w:rsidR="00193988" w:rsidRDefault="00193988" w:rsidP="00193988">
                            <w:pPr>
                              <w:pBdr>
                                <w:top w:val="none" w:sz="4" w:space="8" w:color="000000"/>
                              </w:pBdr>
                              <w:spacing w:after="0"/>
                              <w:jc w:val="center"/>
                              <w:rPr>
                                <w:b/>
                                <w:sz w:val="24"/>
                                <w:szCs w:val="24"/>
                              </w:rPr>
                            </w:pPr>
                            <w:r>
                              <w:rPr>
                                <w:b/>
                                <w:sz w:val="24"/>
                                <w:szCs w:val="24"/>
                              </w:rPr>
                              <w:t>Psychische Störungen/</w:t>
                            </w:r>
                          </w:p>
                          <w:p w:rsidR="00C70A52" w:rsidRDefault="0044410B" w:rsidP="00193988">
                            <w:pPr>
                              <w:pBdr>
                                <w:top w:val="none" w:sz="4" w:space="8" w:color="000000"/>
                              </w:pBdr>
                              <w:spacing w:after="0"/>
                              <w:jc w:val="center"/>
                              <w:rPr>
                                <w:b/>
                                <w:sz w:val="24"/>
                                <w:szCs w:val="24"/>
                              </w:rPr>
                            </w:pPr>
                            <w:r>
                              <w:rPr>
                                <w:b/>
                                <w:sz w:val="24"/>
                                <w:szCs w:val="24"/>
                              </w:rPr>
                              <w:t>psychische Erkrankung</w:t>
                            </w:r>
                          </w:p>
                          <w:p w:rsidR="00C70A52" w:rsidRDefault="0044410B" w:rsidP="000D4042">
                            <w:pPr>
                              <w:pBdr>
                                <w:top w:val="none" w:sz="4" w:space="8" w:color="000000"/>
                              </w:pBdr>
                              <w:jc w:val="center"/>
                            </w:pPr>
                            <w:r>
                              <w:t xml:space="preserve">Ursachen sind gravierende Notlagen oder Beeinträchtigungen der persönlichen Funktionsfähigkeit. Kann das Verhalten, die emotionale Regulierung, die Wahrnehmung und das Denken beeinflussen. </w:t>
                            </w:r>
                          </w:p>
                          <w:p w:rsidR="00C70A52" w:rsidRDefault="00C70A52" w:rsidP="000D4042">
                            <w:pPr>
                              <w:pBdr>
                                <w:top w:val="none" w:sz="4" w:space="8" w:color="000000"/>
                              </w:pBd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3221A" id="Rectangle 4" o:spid="_x0000_s1027" style="position:absolute;left:0;text-align:left;margin-left:295.5pt;margin-top:33.65pt;width:202.5pt;height:1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" fillcolor="white [3201]" strokecolor="#70ad47 [3209]" strokeweight="1pt">
                <v:textbox>
                  <w:txbxContent>
                    <w:p w:rsidR="00193988" w:rsidRDefault="00193988" w:rsidP="00193988">
                      <w:pPr>
                        <w:pBdr>
                          <w:top w:val="none" w:sz="4" w:space="8" w:color="000000"/>
                        </w:pBdr>
                        <w:spacing w:after="0"/>
                        <w:jc w:val="center"/>
                        <w:rPr>
                          <w:b/>
                          <w:sz w:val="24"/>
                          <w:szCs w:val="24"/>
                        </w:rPr>
                      </w:pPr>
                      <w:r>
                        <w:rPr>
                          <w:b/>
                          <w:sz w:val="24"/>
                          <w:szCs w:val="24"/>
                        </w:rPr>
                        <w:t>Psychische Störungen/</w:t>
                      </w:r>
                    </w:p>
                    <w:p w:rsidR="00C70A52" w:rsidRDefault="0044410B" w:rsidP="00193988">
                      <w:pPr>
                        <w:pBdr>
                          <w:top w:val="none" w:sz="4" w:space="8" w:color="000000"/>
                        </w:pBdr>
                        <w:spacing w:after="0"/>
                        <w:jc w:val="center"/>
                        <w:rPr>
                          <w:b/>
                          <w:sz w:val="24"/>
                          <w:szCs w:val="24"/>
                        </w:rPr>
                      </w:pPr>
                      <w:r>
                        <w:rPr>
                          <w:b/>
                          <w:sz w:val="24"/>
                          <w:szCs w:val="24"/>
                        </w:rPr>
                        <w:t>psychische Erkrankung</w:t>
                      </w:r>
                    </w:p>
                    <w:p w:rsidR="00C70A52" w:rsidRDefault="0044410B" w:rsidP="000D4042">
                      <w:pPr>
                        <w:pBdr>
                          <w:top w:val="none" w:sz="4" w:space="8" w:color="000000"/>
                        </w:pBdr>
                        <w:jc w:val="center"/>
                      </w:pPr>
                      <w:r>
                        <w:t xml:space="preserve">Ursachen sind gravierende Notlagen oder Beeinträchtigungen der persönlichen Funktionsfähigkeit. Kann das Verhalten, die emotionale Regulierung, die Wahrnehmung und das Denken beeinflussen. </w:t>
                      </w:r>
                    </w:p>
                    <w:p w:rsidR="00C70A52" w:rsidRDefault="00C70A52" w:rsidP="000D4042">
                      <w:pPr>
                        <w:pBdr>
                          <w:top w:val="none" w:sz="4" w:space="8" w:color="000000"/>
                        </w:pBdr>
                        <w:jc w:val="center"/>
                      </w:pPr>
                    </w:p>
                  </w:txbxContent>
                </v:textbox>
              </v:rect>
            </w:pict>
          </mc:Fallback>
        </mc:AlternateContent>
      </w:r>
    </w:p>
    <w:p w:rsidR="00C70A52" w:rsidRDefault="00C70A52"/>
    <w:p w:rsidR="00C70A52" w:rsidRDefault="00C70A52"/>
    <w:p w:rsidR="00C70A52" w:rsidRDefault="00C70A52"/>
    <w:p w:rsidR="00ED3079" w:rsidRDefault="00ED3079">
      <w:pPr>
        <w:rPr>
          <w:sz w:val="8"/>
        </w:rPr>
      </w:pPr>
    </w:p>
    <w:p w:rsidR="00ED3079" w:rsidRPr="00ED3079" w:rsidRDefault="00ED3079">
      <w:pPr>
        <w:rPr>
          <w:sz w:val="14"/>
        </w:rPr>
      </w:pPr>
    </w:p>
    <w:p w:rsidR="00C70A52" w:rsidRDefault="00C70A52"/>
    <w:p w:rsidR="00C70A52" w:rsidRDefault="0044410B" w:rsidP="00193988">
      <w:pPr>
        <w:jc w:val="both"/>
      </w:pPr>
      <w:r>
        <w:t>Eine gute mentale Gesundheit ist sehr wichtig, Selbstmord ist weltweit die zweithäufigste Todesursache bei 15-29-Jährigen</w:t>
      </w:r>
      <w:r>
        <w:rPr>
          <w:vertAlign w:val="superscript"/>
        </w:rPr>
        <w:t>1</w:t>
      </w:r>
      <w:r>
        <w:t xml:space="preserve"> und statistisch </w:t>
      </w:r>
      <w:r>
        <w:rPr>
          <w:b/>
        </w:rPr>
        <w:t>leidet pro Jahr jeder Dritte an einer psychischen Erkrankung</w:t>
      </w:r>
      <w:r>
        <w:rPr>
          <w:vertAlign w:val="superscript"/>
        </w:rPr>
        <w:t>2</w:t>
      </w:r>
      <w:r>
        <w:t xml:space="preserve">. Derzeit entfallen 7 % der weltweiten Krankheitslast auf psychische Störungen und 2016 waren global </w:t>
      </w:r>
      <w:r>
        <w:rPr>
          <w:b/>
        </w:rPr>
        <w:t>1 Milliarde Menschen</w:t>
      </w:r>
      <w:r>
        <w:t xml:space="preserve"> betroffen</w:t>
      </w:r>
      <w:r>
        <w:rPr>
          <w:vertAlign w:val="superscript"/>
        </w:rPr>
        <w:t>3</w:t>
      </w:r>
      <w:r>
        <w:t xml:space="preserve">. </w:t>
      </w:r>
    </w:p>
    <w:p w:rsidR="00C70A52" w:rsidRDefault="0044410B" w:rsidP="00193988">
      <w:pPr>
        <w:jc w:val="both"/>
      </w:pPr>
      <w:r>
        <w:t xml:space="preserve">Arbeitsbedingter Stress kann die psychische und physische Gesundheit beeinträchtigen und die Produktivität senken. </w:t>
      </w:r>
      <w:r>
        <w:rPr>
          <w:b/>
        </w:rPr>
        <w:t>Lange Arbeitszeiten</w:t>
      </w:r>
      <w:r>
        <w:t>, unklare Aufgaben, Unzufriedenheit, Unsicherheit und schlechte Beziehungen zu Kollegen sind einige der Haupt-Stressfaktoren, mit denen Menschen am Arbeitsplatz konfrontiert sind</w:t>
      </w:r>
      <w:r>
        <w:rPr>
          <w:vertAlign w:val="superscript"/>
        </w:rPr>
        <w:t>4</w:t>
      </w:r>
      <w:r>
        <w:t>.</w:t>
      </w:r>
      <w:r>
        <w:rPr>
          <w:color w:val="AEAAAA" w:themeColor="background2" w:themeShade="BF"/>
        </w:rPr>
        <w:t xml:space="preserve"> </w:t>
      </w:r>
      <w:r>
        <w:rPr>
          <w:b/>
        </w:rPr>
        <w:t>Chronischer berufsbedingter Stress</w:t>
      </w:r>
      <w:r>
        <w:t xml:space="preserve"> kann zu dem so genannten „</w:t>
      </w:r>
      <w:r>
        <w:rPr>
          <w:b/>
        </w:rPr>
        <w:t xml:space="preserve">Burn-out“-Syndrom </w:t>
      </w:r>
      <w:r>
        <w:t>führen, das durch verminderte Leistungsfähigkeit, Energielosigkeit und negative Einstellung zur Arbeit gekennzeichnet ist</w:t>
      </w:r>
      <w:r>
        <w:rPr>
          <w:vertAlign w:val="superscript"/>
        </w:rPr>
        <w:t>5</w:t>
      </w:r>
      <w:r>
        <w:t xml:space="preserve">. Bei manchen Menschen erhöht chronischer Stress zudem das </w:t>
      </w:r>
      <w:r>
        <w:rPr>
          <w:b/>
        </w:rPr>
        <w:t>Risiko, eine psychische Krankheit zu entwickeln</w:t>
      </w:r>
      <w:r>
        <w:rPr>
          <w:vertAlign w:val="superscript"/>
        </w:rPr>
        <w:t>6</w:t>
      </w:r>
      <w:r>
        <w:t>.</w:t>
      </w:r>
    </w:p>
    <w:p w:rsidR="00C70A52" w:rsidRDefault="00ED3079" w:rsidP="004051F6">
      <w:pPr>
        <w:pStyle w:val="berschrift1"/>
        <w:jc w:val="center"/>
        <w:rPr>
          <w:rStyle w:val="Hervorhebung"/>
        </w:rPr>
      </w:pPr>
      <w:r>
        <w:rPr>
          <w:rStyle w:val="Hervorhebung"/>
        </w:rPr>
        <w:t>Kurzinfos zu Doktoranden</w:t>
      </w:r>
    </w:p>
    <w:p w:rsidR="00ED3079" w:rsidRPr="00ED3079" w:rsidRDefault="00ED3079" w:rsidP="00ED3079">
      <w:pPr>
        <w:sectPr w:rsidR="00ED3079" w:rsidRPr="00ED3079" w:rsidSect="00ED3079">
          <w:pgSz w:w="12240" w:h="15840"/>
          <w:pgMar w:top="1440" w:right="1080" w:bottom="1440" w:left="1080" w:header="708" w:footer="708" w:gutter="0"/>
          <w:cols w:space="708"/>
          <w:docGrid w:linePitch="360"/>
        </w:sectPr>
      </w:pPr>
    </w:p>
    <w:p w:rsidR="00C70A52" w:rsidRPr="00456FE3" w:rsidRDefault="003E1DB2">
      <w:pPr>
        <w:pStyle w:val="berschrift1"/>
        <w:rPr>
          <w:sz w:val="28"/>
        </w:rPr>
      </w:pPr>
      <w:r>
        <w:rPr>
          <w:b/>
        </w:rPr>
        <w:t xml:space="preserve">Seelische Gesundheit </w:t>
      </w:r>
      <w:r>
        <w:t>-</w:t>
      </w:r>
      <w:r>
        <w:rPr>
          <w:sz w:val="28"/>
        </w:rPr>
        <w:t xml:space="preserve"> Sie sind nicht allein</w:t>
      </w:r>
    </w:p>
    <w:p w:rsidR="00C70A52" w:rsidRDefault="0044410B" w:rsidP="00ED3079">
      <w:pPr>
        <w:spacing w:after="120"/>
        <w:jc w:val="both"/>
      </w:pPr>
      <w:r>
        <w:rPr>
          <w:b/>
        </w:rPr>
        <w:t>51 %</w:t>
      </w:r>
      <w:r>
        <w:t xml:space="preserve"> der Doktoranden stehen unter psychischer Belastung </w:t>
      </w:r>
      <w:r>
        <w:rPr>
          <w:sz w:val="16"/>
          <w:szCs w:val="16"/>
        </w:rPr>
        <w:t>(~2x höhere Wahrscheinlichkeit als die angepasste Kontrollgruppe der Angestellten)</w:t>
      </w:r>
      <w:r>
        <w:rPr>
          <w:sz w:val="22"/>
          <w:szCs w:val="16"/>
          <w:vertAlign w:val="superscript"/>
        </w:rPr>
        <w:t>7</w:t>
      </w:r>
      <w:r>
        <w:t>.</w:t>
      </w:r>
    </w:p>
    <w:p w:rsidR="00C70A52" w:rsidRDefault="0044410B" w:rsidP="00ED3079">
      <w:pPr>
        <w:spacing w:after="120"/>
        <w:jc w:val="both"/>
        <w:rPr>
          <w:sz w:val="16"/>
          <w:szCs w:val="16"/>
        </w:rPr>
      </w:pPr>
      <w:r>
        <w:rPr>
          <w:b/>
        </w:rPr>
        <w:t xml:space="preserve">32 % </w:t>
      </w:r>
      <w:r>
        <w:t xml:space="preserve">der Doktoranden wiesen ein sehr hohes Risiko für die Entwicklung einer psychischen Krankheit auf </w:t>
      </w:r>
      <w:r>
        <w:rPr>
          <w:sz w:val="16"/>
          <w:szCs w:val="16"/>
        </w:rPr>
        <w:t>(2,4-2,8x höhere Wahrscheinlichkeit als die angepasste Kontrollgruppe der Angestellten)</w:t>
      </w:r>
      <w:r>
        <w:rPr>
          <w:sz w:val="22"/>
          <w:szCs w:val="16"/>
          <w:vertAlign w:val="superscript"/>
        </w:rPr>
        <w:t>7</w:t>
      </w:r>
      <w:r>
        <w:rPr>
          <w:sz w:val="16"/>
          <w:szCs w:val="16"/>
        </w:rPr>
        <w:t>.</w:t>
      </w:r>
    </w:p>
    <w:p w:rsidR="00B96E02" w:rsidRDefault="0044410B" w:rsidP="00ED3079">
      <w:pPr>
        <w:spacing w:after="120"/>
        <w:jc w:val="both"/>
      </w:pPr>
      <w:r>
        <w:rPr>
          <w:b/>
        </w:rPr>
        <w:t>40 %</w:t>
      </w:r>
      <w:r>
        <w:t xml:space="preserve"> fühlten sich unter Dauerbelastung und </w:t>
      </w:r>
      <w:r>
        <w:rPr>
          <w:b/>
        </w:rPr>
        <w:t>30 %</w:t>
      </w:r>
      <w:r>
        <w:t xml:space="preserve"> fühlten sich unglücklich und deprimiert</w:t>
      </w:r>
      <w:r>
        <w:rPr>
          <w:sz w:val="22"/>
          <w:vertAlign w:val="superscript"/>
        </w:rPr>
        <w:t>7</w:t>
      </w:r>
      <w:r>
        <w:t>.</w:t>
      </w:r>
    </w:p>
    <w:p w:rsidR="009F3266" w:rsidRPr="00ED3079" w:rsidRDefault="0044410B" w:rsidP="00ED3079">
      <w:pPr>
        <w:spacing w:after="120"/>
        <w:jc w:val="both"/>
      </w:pPr>
      <w:r>
        <w:rPr>
          <w:b/>
        </w:rPr>
        <w:t>41 %</w:t>
      </w:r>
      <w:r>
        <w:t xml:space="preserve"> der Absolventen berichteten von moderaten bis starken Angstgefühlen </w:t>
      </w:r>
      <w:r>
        <w:rPr>
          <w:sz w:val="16"/>
          <w:szCs w:val="14"/>
        </w:rPr>
        <w:t>(6 % in der Gesamt</w:t>
      </w:r>
      <w:r w:rsidR="00B96E02">
        <w:rPr>
          <w:sz w:val="16"/>
          <w:szCs w:val="14"/>
        </w:rPr>
        <w:t>-</w:t>
      </w:r>
      <w:r>
        <w:rPr>
          <w:sz w:val="16"/>
          <w:szCs w:val="14"/>
        </w:rPr>
        <w:t>bevölkerung)</w:t>
      </w:r>
      <w:r>
        <w:rPr>
          <w:sz w:val="22"/>
          <w:szCs w:val="22"/>
          <w:vertAlign w:val="superscript"/>
        </w:rPr>
        <w:t>8</w:t>
      </w:r>
      <w:r>
        <w:rPr>
          <w:sz w:val="14"/>
          <w:szCs w:val="14"/>
        </w:rPr>
        <w:t>.</w:t>
      </w:r>
    </w:p>
    <w:p w:rsidR="00C70A52" w:rsidRPr="009F3266" w:rsidRDefault="0044410B" w:rsidP="00ED3079">
      <w:pPr>
        <w:spacing w:after="120"/>
        <w:jc w:val="both"/>
        <w:rPr>
          <w:sz w:val="14"/>
          <w:szCs w:val="14"/>
        </w:rPr>
      </w:pPr>
      <w:r>
        <w:rPr>
          <w:b/>
        </w:rPr>
        <w:t>39 %</w:t>
      </w:r>
      <w:r>
        <w:t xml:space="preserve"> der Absolventen berichteten von moderaten bis schweren Depressionen </w:t>
      </w:r>
      <w:r w:rsidRPr="00B96E02">
        <w:rPr>
          <w:sz w:val="16"/>
          <w:szCs w:val="16"/>
        </w:rPr>
        <w:t>(6 % in der Gesamt</w:t>
      </w:r>
      <w:r w:rsidR="00B96E02">
        <w:rPr>
          <w:sz w:val="16"/>
          <w:szCs w:val="16"/>
        </w:rPr>
        <w:t>-</w:t>
      </w:r>
      <w:bookmarkStart w:id="0" w:name="_GoBack"/>
      <w:bookmarkEnd w:id="0"/>
      <w:r w:rsidRPr="00B96E02">
        <w:rPr>
          <w:sz w:val="16"/>
          <w:szCs w:val="16"/>
        </w:rPr>
        <w:t>bevölkerung)</w:t>
      </w:r>
      <w:r>
        <w:rPr>
          <w:sz w:val="22"/>
          <w:vertAlign w:val="superscript"/>
        </w:rPr>
        <w:t>8</w:t>
      </w:r>
      <w:r>
        <w:rPr>
          <w:sz w:val="14"/>
        </w:rPr>
        <w:t>.</w:t>
      </w:r>
    </w:p>
    <w:p w:rsidR="00C70A52" w:rsidRDefault="003E1DB2" w:rsidP="00ED3079">
      <w:pPr>
        <w:spacing w:after="120"/>
        <w:jc w:val="both"/>
      </w:pPr>
      <w:r>
        <w:rPr>
          <w:b/>
        </w:rPr>
        <w:t>60 %</w:t>
      </w:r>
      <w:r>
        <w:t xml:space="preserve"> der Doktoranden leiden an stressbedingten Symptomen</w:t>
      </w:r>
      <w:r>
        <w:rPr>
          <w:sz w:val="22"/>
          <w:vertAlign w:val="superscript"/>
        </w:rPr>
        <w:t>9</w:t>
      </w:r>
      <w:r>
        <w:t>.</w:t>
      </w:r>
    </w:p>
    <w:p w:rsidR="00C70A52" w:rsidRDefault="0044410B" w:rsidP="00ED3079">
      <w:pPr>
        <w:spacing w:after="120"/>
        <w:jc w:val="both"/>
      </w:pPr>
      <w:r>
        <w:rPr>
          <w:b/>
        </w:rPr>
        <w:t>40 %</w:t>
      </w:r>
      <w:r>
        <w:t xml:space="preserve"> leiden an Rückenschmerzen und </w:t>
      </w:r>
      <w:r>
        <w:rPr>
          <w:b/>
        </w:rPr>
        <w:t>33 %</w:t>
      </w:r>
      <w:r>
        <w:t xml:space="preserve"> an Schlaflosigkeit</w:t>
      </w:r>
      <w:r>
        <w:rPr>
          <w:sz w:val="22"/>
          <w:vertAlign w:val="superscript"/>
        </w:rPr>
        <w:t>9</w:t>
      </w:r>
      <w:r>
        <w:t>.</w:t>
      </w:r>
    </w:p>
    <w:p w:rsidR="00C70A52" w:rsidRDefault="0044410B" w:rsidP="00ED3079">
      <w:pPr>
        <w:spacing w:after="120"/>
        <w:jc w:val="both"/>
      </w:pPr>
      <w:r>
        <w:rPr>
          <w:b/>
        </w:rPr>
        <w:t>24 %</w:t>
      </w:r>
      <w:r>
        <w:t xml:space="preserve"> Steigerung der stressbedingten Symptome vom 1. bis zum 3. Promotionsjahr</w:t>
      </w:r>
      <w:r>
        <w:rPr>
          <w:vertAlign w:val="superscript"/>
        </w:rPr>
        <w:t>9</w:t>
      </w:r>
      <w:r>
        <w:t>.</w:t>
      </w:r>
    </w:p>
    <w:p w:rsidR="00C70A52" w:rsidRDefault="0044410B">
      <w:pPr>
        <w:pStyle w:val="berschrift1"/>
        <w:rPr>
          <w:b/>
        </w:rPr>
      </w:pPr>
      <w:r>
        <w:rPr>
          <w:b/>
        </w:rPr>
        <w:lastRenderedPageBreak/>
        <w:t xml:space="preserve">Betreuung </w:t>
      </w:r>
    </w:p>
    <w:p w:rsidR="00C70A52" w:rsidRDefault="0044410B" w:rsidP="00193988">
      <w:pPr>
        <w:jc w:val="both"/>
      </w:pPr>
      <w:r>
        <w:t xml:space="preserve">16 % treffen ihre direkten Betreuer </w:t>
      </w:r>
      <w:r>
        <w:rPr>
          <w:b/>
        </w:rPr>
        <w:t>weniger als einmal im Monat</w:t>
      </w:r>
      <w:r>
        <w:rPr>
          <w:sz w:val="22"/>
          <w:vertAlign w:val="superscript"/>
        </w:rPr>
        <w:t>10</w:t>
      </w:r>
      <w:r>
        <w:t>.</w:t>
      </w:r>
    </w:p>
    <w:p w:rsidR="00C70A52" w:rsidRDefault="0044410B" w:rsidP="00193988">
      <w:pPr>
        <w:jc w:val="both"/>
        <w:rPr>
          <w:b/>
        </w:rPr>
      </w:pPr>
      <w:r>
        <w:t xml:space="preserve">1/5 teilt sich den direkten Betreuer mit </w:t>
      </w:r>
      <w:r>
        <w:rPr>
          <w:b/>
        </w:rPr>
        <w:t xml:space="preserve">6 </w:t>
      </w:r>
      <w:r>
        <w:t>anderen Doktoranden</w:t>
      </w:r>
      <w:r>
        <w:rPr>
          <w:sz w:val="22"/>
          <w:vertAlign w:val="superscript"/>
        </w:rPr>
        <w:t>10</w:t>
      </w:r>
      <w:r>
        <w:t>.</w:t>
      </w:r>
    </w:p>
    <w:p w:rsidR="00C70A52" w:rsidRDefault="0044410B" w:rsidP="00193988">
      <w:pPr>
        <w:jc w:val="both"/>
        <w:rPr>
          <w:b/>
        </w:rPr>
      </w:pPr>
      <w:r>
        <w:t>Die Häufigkeit der Treffen mit dem Betreuer korreliert mit der Zufriedenheit</w:t>
      </w:r>
      <w:r>
        <w:rPr>
          <w:sz w:val="22"/>
          <w:vertAlign w:val="superscript"/>
        </w:rPr>
        <w:t>10</w:t>
      </w:r>
      <w:r>
        <w:t>.</w:t>
      </w:r>
      <w:r>
        <w:rPr>
          <w:b/>
        </w:rPr>
        <w:t xml:space="preserve"> </w:t>
      </w:r>
    </w:p>
    <w:p w:rsidR="00F07ECB" w:rsidRDefault="0044410B" w:rsidP="00193988">
      <w:pPr>
        <w:jc w:val="both"/>
      </w:pPr>
      <w:r>
        <w:rPr>
          <w:b/>
        </w:rPr>
        <w:t>40 %</w:t>
      </w:r>
      <w:r>
        <w:t>, die den Abbruch der Promotion in Betracht ziehen, nennen die Betreuer als Grund</w:t>
      </w:r>
      <w:r>
        <w:rPr>
          <w:sz w:val="22"/>
          <w:vertAlign w:val="superscript"/>
        </w:rPr>
        <w:t>10</w:t>
      </w:r>
      <w:r>
        <w:t xml:space="preserve">. </w:t>
      </w:r>
    </w:p>
    <w:p w:rsidR="00C70A52" w:rsidRDefault="0044410B" w:rsidP="00193988">
      <w:pPr>
        <w:jc w:val="both"/>
        <w:rPr>
          <w:sz w:val="22"/>
        </w:rPr>
      </w:pPr>
      <w:r>
        <w:rPr>
          <w:b/>
        </w:rPr>
        <w:t>33 %</w:t>
      </w:r>
      <w:r>
        <w:t xml:space="preserve"> der Doktoranden haben oft oder gelegentlich erwogen, ihre Forschung aufzugeben</w:t>
      </w:r>
      <w:r>
        <w:rPr>
          <w:sz w:val="22"/>
          <w:vertAlign w:val="superscript"/>
        </w:rPr>
        <w:t>10</w:t>
      </w:r>
      <w:r>
        <w:rPr>
          <w:sz w:val="22"/>
        </w:rPr>
        <w:t>.</w:t>
      </w:r>
    </w:p>
    <w:p w:rsidR="00204779" w:rsidRPr="00F07ECB" w:rsidRDefault="00204779" w:rsidP="00193988">
      <w:pPr>
        <w:jc w:val="both"/>
      </w:pPr>
    </w:p>
    <w:p w:rsidR="009F3266" w:rsidRDefault="009F3266" w:rsidP="00193988">
      <w:pPr>
        <w:pStyle w:val="berschrift1"/>
        <w:jc w:val="both"/>
        <w:rPr>
          <w:b/>
        </w:rPr>
      </w:pPr>
      <w:r>
        <w:rPr>
          <w:b/>
        </w:rPr>
        <w:t>Arbeitszeiten</w:t>
      </w:r>
    </w:p>
    <w:p w:rsidR="009F3266" w:rsidRDefault="009F3266" w:rsidP="00193988">
      <w:pPr>
        <w:jc w:val="both"/>
      </w:pPr>
      <w:r>
        <w:t xml:space="preserve">Doktoranden arbeiten </w:t>
      </w:r>
      <w:r>
        <w:rPr>
          <w:b/>
        </w:rPr>
        <w:t>11,2 Stunden</w:t>
      </w:r>
      <w:r>
        <w:t xml:space="preserve"> mehr als vertraglich vereinbart</w:t>
      </w:r>
      <w:r>
        <w:rPr>
          <w:sz w:val="22"/>
          <w:vertAlign w:val="superscript"/>
        </w:rPr>
        <w:t>10</w:t>
      </w:r>
      <w:r>
        <w:t>.</w:t>
      </w:r>
    </w:p>
    <w:p w:rsidR="009F3266" w:rsidRDefault="009F3266" w:rsidP="00193988">
      <w:pPr>
        <w:jc w:val="both"/>
      </w:pPr>
      <w:r>
        <w:rPr>
          <w:b/>
        </w:rPr>
        <w:t>55 %</w:t>
      </w:r>
      <w:r>
        <w:t xml:space="preserve"> arbeiten mehr als einmal im Monat an Wochenenden/Feiertagen</w:t>
      </w:r>
      <w:r>
        <w:rPr>
          <w:sz w:val="22"/>
          <w:vertAlign w:val="superscript"/>
        </w:rPr>
        <w:t>10</w:t>
      </w:r>
      <w:r>
        <w:t xml:space="preserve">. </w:t>
      </w:r>
    </w:p>
    <w:p w:rsidR="0007786E" w:rsidRDefault="003E1DB2" w:rsidP="00193988">
      <w:pPr>
        <w:pStyle w:val="berschrift1"/>
        <w:jc w:val="both"/>
        <w:rPr>
          <w:b/>
        </w:rPr>
      </w:pPr>
      <w:r>
        <w:rPr>
          <w:b/>
        </w:rPr>
        <w:t>Wohlbefinden am Arbeits</w:t>
      </w:r>
      <w:r w:rsidR="00204779">
        <w:rPr>
          <w:b/>
        </w:rPr>
        <w:t>-</w:t>
      </w:r>
      <w:r>
        <w:rPr>
          <w:b/>
        </w:rPr>
        <w:t>platz</w:t>
      </w:r>
    </w:p>
    <w:p w:rsidR="0007786E" w:rsidRDefault="0007786E" w:rsidP="00193988">
      <w:pPr>
        <w:jc w:val="both"/>
      </w:pPr>
      <w:r>
        <w:t>Verschiedene Meditations-Apps können dabei helfen, Stress abzubauen und das Wohlbefinden zu verbessern</w:t>
      </w:r>
      <w:r>
        <w:rPr>
          <w:vertAlign w:val="superscript"/>
        </w:rPr>
        <w:t>11</w:t>
      </w:r>
      <w:r>
        <w:t>.</w:t>
      </w:r>
    </w:p>
    <w:p w:rsidR="0017113E" w:rsidRDefault="00221EFD" w:rsidP="00193988">
      <w:pPr>
        <w:jc w:val="both"/>
      </w:pPr>
      <w:r>
        <w:t>Pflanzen/Grünflächen im Büro und Ausflüge in den Wald können Spannungen und Angstgefühle abbauen</w:t>
      </w:r>
      <w:r>
        <w:rPr>
          <w:vertAlign w:val="superscript"/>
        </w:rPr>
        <w:t>12,13</w:t>
      </w:r>
      <w:r>
        <w:t>.</w:t>
      </w:r>
    </w:p>
    <w:p w:rsidR="00F07ECB" w:rsidRDefault="003E1DB2" w:rsidP="00193988">
      <w:pPr>
        <w:jc w:val="both"/>
      </w:pPr>
      <w:r>
        <w:t xml:space="preserve">Mehr Tipps finden Sie im MHAW-Leitfaden zur Selbsthilfe 2019. </w:t>
      </w:r>
    </w:p>
    <w:p w:rsidR="00C70A52" w:rsidRDefault="00C70A52">
      <w:pPr>
        <w:sectPr w:rsidR="00C70A52">
          <w:type w:val="continuous"/>
          <w:pgSz w:w="12240" w:h="15840"/>
          <w:pgMar w:top="1417" w:right="1417" w:bottom="1134" w:left="1417" w:header="708" w:footer="708" w:gutter="0"/>
          <w:cols w:num="2" w:space="709"/>
          <w:docGrid w:linePitch="360"/>
        </w:sectPr>
      </w:pPr>
    </w:p>
    <w:p w:rsidR="00C70A52" w:rsidRPr="002B773F" w:rsidRDefault="0044410B" w:rsidP="00204779">
      <w:pPr>
        <w:spacing w:after="0"/>
        <w:rPr>
          <w:sz w:val="28"/>
          <w:szCs w:val="36"/>
        </w:rPr>
      </w:pPr>
      <w:r w:rsidRPr="002B773F">
        <w:rPr>
          <w:sz w:val="28"/>
          <w:szCs w:val="36"/>
        </w:rPr>
        <w:t>Quellenangaben</w:t>
      </w:r>
    </w:p>
    <w:p w:rsidR="00C70A52" w:rsidRPr="00B96E02" w:rsidRDefault="0044410B" w:rsidP="002B773F">
      <w:pPr>
        <w:pStyle w:val="Kommentartext"/>
        <w:numPr>
          <w:ilvl w:val="0"/>
          <w:numId w:val="1"/>
        </w:numPr>
        <w:spacing w:after="80"/>
        <w:ind w:hanging="357"/>
        <w:jc w:val="both"/>
        <w:rPr>
          <w:rFonts w:asciiTheme="minorHAnsi" w:hAnsiTheme="minorHAnsi" w:cstheme="minorHAnsi"/>
          <w:sz w:val="16"/>
          <w:szCs w:val="16"/>
          <w:lang w:val="en-US"/>
        </w:rPr>
      </w:pPr>
      <w:r w:rsidRPr="00B96E02">
        <w:rPr>
          <w:rFonts w:asciiTheme="minorHAnsi" w:hAnsiTheme="minorHAnsi"/>
          <w:sz w:val="16"/>
          <w:szCs w:val="16"/>
          <w:lang w:val="en-US"/>
        </w:rPr>
        <w:t>World Health Organization (2018) Global Health Estimates 2016: Deaths by Cause, Age, Sex, by Country and by Region, 2000-2016</w:t>
      </w:r>
      <w:r w:rsidRPr="00B96E02">
        <w:rPr>
          <w:rFonts w:asciiTheme="minorHAnsi" w:hAnsiTheme="minorHAnsi"/>
          <w:i/>
          <w:sz w:val="16"/>
          <w:szCs w:val="16"/>
          <w:lang w:val="en-US"/>
        </w:rPr>
        <w:t xml:space="preserve">. </w:t>
      </w:r>
      <w:r w:rsidRPr="00B96E02">
        <w:rPr>
          <w:rFonts w:asciiTheme="minorHAnsi" w:hAnsiTheme="minorHAnsi"/>
          <w:sz w:val="16"/>
          <w:szCs w:val="16"/>
          <w:lang w:val="en-US"/>
        </w:rPr>
        <w:t>Geneva. Available at: https://www.who.int/healthinfo/global_burden_disease/GHE2016_Deaths_WBInc_2000_2016.xls?ua=1.</w:t>
      </w:r>
    </w:p>
    <w:p w:rsidR="00C70A52" w:rsidRPr="00D37A6F" w:rsidRDefault="0044410B" w:rsidP="002B773F">
      <w:pPr>
        <w:pStyle w:val="Kommentartext"/>
        <w:numPr>
          <w:ilvl w:val="0"/>
          <w:numId w:val="1"/>
        </w:numPr>
        <w:spacing w:after="80"/>
        <w:ind w:hanging="357"/>
        <w:jc w:val="both"/>
        <w:rPr>
          <w:rFonts w:asciiTheme="minorHAnsi" w:hAnsiTheme="minorHAnsi" w:cstheme="minorHAnsi"/>
          <w:sz w:val="16"/>
          <w:szCs w:val="16"/>
        </w:rPr>
      </w:pPr>
      <w:r w:rsidRPr="00B96E02">
        <w:rPr>
          <w:rFonts w:asciiTheme="minorHAnsi" w:hAnsiTheme="minorHAnsi"/>
          <w:sz w:val="16"/>
          <w:szCs w:val="16"/>
          <w:lang w:val="en-US"/>
        </w:rPr>
        <w:t xml:space="preserve">Wittchen H.U., Jacobi F., Rehm J., Gustavsson A., Svensson M., Jönsson B., Olesen J., Allgulander C., Alonso J., Faravelli C., Fratiglioni L., Jennum P., Lieb R., Maercker A., van Os J., Preisig M., Salvador-Carulla L., Simon R., Steinhausen H.C. (2011) The size and burden of mental disorders and other disorders of the brain in Europe 2010. </w:t>
      </w:r>
      <w:r w:rsidRPr="00D37A6F">
        <w:rPr>
          <w:rFonts w:asciiTheme="minorHAnsi" w:hAnsiTheme="minorHAnsi"/>
          <w:i/>
          <w:sz w:val="16"/>
          <w:szCs w:val="16"/>
        </w:rPr>
        <w:t>European Neuropsychopharmacology</w:t>
      </w:r>
      <w:r w:rsidRPr="00D37A6F">
        <w:rPr>
          <w:rFonts w:asciiTheme="minorHAnsi" w:hAnsiTheme="minorHAnsi"/>
          <w:sz w:val="16"/>
          <w:szCs w:val="16"/>
        </w:rPr>
        <w:t xml:space="preserve">. </w:t>
      </w:r>
      <w:r w:rsidRPr="00D37A6F">
        <w:rPr>
          <w:rFonts w:asciiTheme="minorHAnsi" w:hAnsiTheme="minorHAnsi"/>
          <w:i/>
          <w:iCs/>
          <w:color w:val="222222"/>
          <w:sz w:val="16"/>
          <w:szCs w:val="16"/>
          <w:shd w:val="clear" w:color="auto" w:fill="FFFFFF"/>
        </w:rPr>
        <w:t>21</w:t>
      </w:r>
      <w:r w:rsidRPr="00D37A6F">
        <w:rPr>
          <w:rFonts w:asciiTheme="minorHAnsi" w:hAnsiTheme="minorHAnsi"/>
          <w:color w:val="222222"/>
          <w:sz w:val="16"/>
          <w:szCs w:val="16"/>
          <w:shd w:val="clear" w:color="auto" w:fill="FFFFFF"/>
        </w:rPr>
        <w:t>(9), 655-679.</w:t>
      </w:r>
    </w:p>
    <w:p w:rsidR="00C70A52" w:rsidRPr="00D37A6F" w:rsidRDefault="0044410B" w:rsidP="002B773F">
      <w:pPr>
        <w:pStyle w:val="Listenabsatz"/>
        <w:numPr>
          <w:ilvl w:val="0"/>
          <w:numId w:val="1"/>
        </w:numPr>
        <w:spacing w:after="80" w:line="240" w:lineRule="auto"/>
        <w:ind w:hanging="357"/>
        <w:contextualSpacing w:val="0"/>
        <w:jc w:val="both"/>
        <w:rPr>
          <w:rFonts w:asciiTheme="minorHAnsi" w:hAnsiTheme="minorHAnsi" w:cstheme="minorHAnsi"/>
          <w:i/>
          <w:sz w:val="16"/>
          <w:szCs w:val="16"/>
          <w:lang w:val="en-US"/>
        </w:rPr>
      </w:pPr>
      <w:r w:rsidRPr="00D37A6F">
        <w:rPr>
          <w:rFonts w:asciiTheme="minorHAnsi" w:hAnsiTheme="minorHAnsi"/>
          <w:sz w:val="16"/>
          <w:szCs w:val="16"/>
          <w:lang w:val="en-US"/>
        </w:rPr>
        <w:t>Rehm J, Shield KD. (2019) Global Burden of Disease and the Impact of Mental and Addictive Disorders.</w:t>
      </w:r>
      <w:r w:rsidRPr="00D37A6F">
        <w:rPr>
          <w:rFonts w:asciiTheme="minorHAnsi" w:hAnsiTheme="minorHAnsi"/>
          <w:i/>
          <w:sz w:val="16"/>
          <w:szCs w:val="16"/>
          <w:lang w:val="en-US"/>
        </w:rPr>
        <w:t xml:space="preserve"> Curr Psychiatry Rep. </w:t>
      </w:r>
      <w:r w:rsidRPr="00D37A6F">
        <w:rPr>
          <w:rFonts w:asciiTheme="minorHAnsi" w:hAnsiTheme="minorHAnsi"/>
          <w:sz w:val="16"/>
          <w:szCs w:val="16"/>
          <w:lang w:val="en-US"/>
        </w:rPr>
        <w:t>21(2):10. PMID: 30729322.</w:t>
      </w:r>
    </w:p>
    <w:p w:rsidR="00C70A52" w:rsidRPr="00D37A6F" w:rsidRDefault="0044410B" w:rsidP="002B773F">
      <w:pPr>
        <w:pStyle w:val="Listenabsatz"/>
        <w:numPr>
          <w:ilvl w:val="0"/>
          <w:numId w:val="1"/>
        </w:numPr>
        <w:spacing w:after="80" w:line="240" w:lineRule="auto"/>
        <w:ind w:hanging="357"/>
        <w:contextualSpacing w:val="0"/>
        <w:jc w:val="both"/>
        <w:rPr>
          <w:rFonts w:asciiTheme="minorHAnsi" w:hAnsiTheme="minorHAnsi" w:cstheme="minorHAnsi"/>
          <w:i/>
          <w:sz w:val="16"/>
          <w:szCs w:val="16"/>
          <w:lang w:val="en-US"/>
        </w:rPr>
      </w:pPr>
      <w:r w:rsidRPr="00D37A6F">
        <w:rPr>
          <w:rFonts w:asciiTheme="minorHAnsi" w:hAnsiTheme="minorHAnsi"/>
          <w:sz w:val="16"/>
          <w:szCs w:val="16"/>
          <w:lang w:val="en-US"/>
        </w:rPr>
        <w:t>Burman R, Goswami TG. (2018) A systematic literature review of work stress</w:t>
      </w:r>
      <w:r w:rsidRPr="00D37A6F">
        <w:rPr>
          <w:rFonts w:asciiTheme="minorHAnsi" w:hAnsiTheme="minorHAnsi"/>
          <w:b/>
          <w:sz w:val="16"/>
          <w:szCs w:val="16"/>
          <w:lang w:val="en-US"/>
        </w:rPr>
        <w:t xml:space="preserve">. </w:t>
      </w:r>
      <w:r w:rsidRPr="00D37A6F">
        <w:rPr>
          <w:rFonts w:asciiTheme="minorHAnsi" w:hAnsiTheme="minorHAnsi"/>
          <w:i/>
          <w:sz w:val="16"/>
          <w:szCs w:val="16"/>
          <w:lang w:val="en-US"/>
        </w:rPr>
        <w:t>International Journal of Management Studies</w:t>
      </w:r>
      <w:r w:rsidRPr="00D37A6F">
        <w:rPr>
          <w:rFonts w:asciiTheme="minorHAnsi" w:hAnsiTheme="minorHAnsi"/>
          <w:sz w:val="16"/>
          <w:szCs w:val="16"/>
          <w:lang w:val="en-US"/>
        </w:rPr>
        <w:t xml:space="preserve"> 3(9), p.112-132.</w:t>
      </w:r>
    </w:p>
    <w:p w:rsidR="00C70A52" w:rsidRPr="00D37A6F" w:rsidRDefault="0044410B" w:rsidP="002B773F">
      <w:pPr>
        <w:pStyle w:val="Listenabsatz"/>
        <w:numPr>
          <w:ilvl w:val="0"/>
          <w:numId w:val="1"/>
        </w:numPr>
        <w:spacing w:after="80" w:line="240" w:lineRule="auto"/>
        <w:ind w:hanging="357"/>
        <w:contextualSpacing w:val="0"/>
        <w:jc w:val="both"/>
        <w:rPr>
          <w:rFonts w:asciiTheme="minorHAnsi" w:hAnsiTheme="minorHAnsi" w:cstheme="minorHAnsi"/>
          <w:sz w:val="16"/>
          <w:szCs w:val="16"/>
          <w:lang w:val="en-US"/>
        </w:rPr>
      </w:pPr>
      <w:r w:rsidRPr="00D37A6F">
        <w:rPr>
          <w:rFonts w:asciiTheme="minorHAnsi" w:hAnsiTheme="minorHAnsi"/>
          <w:sz w:val="16"/>
          <w:szCs w:val="16"/>
          <w:lang w:val="en-US"/>
        </w:rPr>
        <w:t>World Health Organization. (2019). Burn-out an "occupational phenomenon": International Classification of Diseases. [online] Available at: https://www.who.int/mental_health/evidence/burn-out/en/ [Accessed 26 Jul. 2019].</w:t>
      </w:r>
    </w:p>
    <w:p w:rsidR="00C70A52" w:rsidRPr="00D37A6F" w:rsidRDefault="0044410B" w:rsidP="002B773F">
      <w:pPr>
        <w:pStyle w:val="Listenabsatz"/>
        <w:numPr>
          <w:ilvl w:val="0"/>
          <w:numId w:val="1"/>
        </w:numPr>
        <w:spacing w:after="80" w:line="240" w:lineRule="auto"/>
        <w:ind w:hanging="357"/>
        <w:contextualSpacing w:val="0"/>
        <w:jc w:val="both"/>
        <w:rPr>
          <w:rFonts w:asciiTheme="minorHAnsi" w:hAnsiTheme="minorHAnsi" w:cstheme="minorHAnsi"/>
          <w:i/>
          <w:sz w:val="16"/>
          <w:szCs w:val="16"/>
          <w:lang w:val="en-US"/>
        </w:rPr>
      </w:pPr>
      <w:r w:rsidRPr="00D37A6F">
        <w:rPr>
          <w:rFonts w:asciiTheme="minorHAnsi" w:hAnsiTheme="minorHAnsi"/>
          <w:color w:val="222222"/>
          <w:sz w:val="16"/>
          <w:szCs w:val="16"/>
          <w:shd w:val="clear" w:color="auto" w:fill="FFFFFF"/>
          <w:lang w:val="en-US"/>
        </w:rPr>
        <w:t>Hammen, C. (2005). Stress and depression. </w:t>
      </w:r>
      <w:r w:rsidRPr="00D37A6F">
        <w:rPr>
          <w:rFonts w:asciiTheme="minorHAnsi" w:hAnsiTheme="minorHAnsi"/>
          <w:i/>
          <w:iCs/>
          <w:color w:val="222222"/>
          <w:sz w:val="16"/>
          <w:szCs w:val="16"/>
          <w:shd w:val="clear" w:color="auto" w:fill="FFFFFF"/>
          <w:lang w:val="en-US"/>
        </w:rPr>
        <w:t>Annu. Rev. Clin. Psychol.</w:t>
      </w:r>
      <w:r w:rsidRPr="00D37A6F">
        <w:rPr>
          <w:rFonts w:asciiTheme="minorHAnsi" w:hAnsiTheme="minorHAnsi"/>
          <w:color w:val="222222"/>
          <w:sz w:val="16"/>
          <w:szCs w:val="16"/>
          <w:shd w:val="clear" w:color="auto" w:fill="FFFFFF"/>
          <w:lang w:val="en-US"/>
        </w:rPr>
        <w:t>, </w:t>
      </w:r>
      <w:r w:rsidRPr="00D37A6F">
        <w:rPr>
          <w:rFonts w:asciiTheme="minorHAnsi" w:hAnsiTheme="minorHAnsi"/>
          <w:i/>
          <w:iCs/>
          <w:color w:val="222222"/>
          <w:sz w:val="16"/>
          <w:szCs w:val="16"/>
          <w:shd w:val="clear" w:color="auto" w:fill="FFFFFF"/>
          <w:lang w:val="en-US"/>
        </w:rPr>
        <w:t>1</w:t>
      </w:r>
      <w:r w:rsidRPr="00D37A6F">
        <w:rPr>
          <w:rFonts w:asciiTheme="minorHAnsi" w:hAnsiTheme="minorHAnsi"/>
          <w:color w:val="222222"/>
          <w:sz w:val="16"/>
          <w:szCs w:val="16"/>
          <w:shd w:val="clear" w:color="auto" w:fill="FFFFFF"/>
          <w:lang w:val="en-US"/>
        </w:rPr>
        <w:t>, 293-319.</w:t>
      </w:r>
    </w:p>
    <w:p w:rsidR="00C70A52" w:rsidRPr="00D37A6F" w:rsidRDefault="0044410B" w:rsidP="002B773F">
      <w:pPr>
        <w:pStyle w:val="Listenabsatz"/>
        <w:numPr>
          <w:ilvl w:val="0"/>
          <w:numId w:val="1"/>
        </w:numPr>
        <w:spacing w:after="80" w:line="240" w:lineRule="auto"/>
        <w:ind w:hanging="357"/>
        <w:contextualSpacing w:val="0"/>
        <w:jc w:val="both"/>
        <w:rPr>
          <w:rFonts w:asciiTheme="minorHAnsi" w:hAnsiTheme="minorHAnsi" w:cstheme="minorHAnsi"/>
          <w:i/>
          <w:sz w:val="16"/>
          <w:szCs w:val="16"/>
          <w:lang w:val="en-US"/>
        </w:rPr>
      </w:pPr>
      <w:r w:rsidRPr="00D37A6F">
        <w:rPr>
          <w:rFonts w:asciiTheme="minorHAnsi" w:hAnsiTheme="minorHAnsi"/>
          <w:sz w:val="16"/>
          <w:szCs w:val="16"/>
          <w:lang w:val="en-US"/>
        </w:rPr>
        <w:t xml:space="preserve">Levecque K, Anseel F, De Beuckelaer A, Van der Heyden J, Gisle L. (2017) Work organization and mental health problems in PhD students. </w:t>
      </w:r>
      <w:r w:rsidRPr="00D37A6F">
        <w:rPr>
          <w:rFonts w:asciiTheme="minorHAnsi" w:hAnsiTheme="minorHAnsi"/>
          <w:i/>
          <w:sz w:val="16"/>
          <w:szCs w:val="16"/>
          <w:lang w:val="en-US"/>
        </w:rPr>
        <w:t>Res Policy</w:t>
      </w:r>
      <w:r w:rsidRPr="00D37A6F">
        <w:rPr>
          <w:rFonts w:asciiTheme="minorHAnsi" w:hAnsiTheme="minorHAnsi"/>
          <w:sz w:val="16"/>
          <w:szCs w:val="16"/>
          <w:lang w:val="en-US"/>
        </w:rPr>
        <w:t>. 46(4):868–879.</w:t>
      </w:r>
    </w:p>
    <w:p w:rsidR="00C70A52" w:rsidRPr="00D37A6F" w:rsidRDefault="0044410B" w:rsidP="002B773F">
      <w:pPr>
        <w:pStyle w:val="Kommentartext"/>
        <w:numPr>
          <w:ilvl w:val="0"/>
          <w:numId w:val="1"/>
        </w:numPr>
        <w:spacing w:after="80"/>
        <w:ind w:hanging="357"/>
        <w:jc w:val="both"/>
        <w:rPr>
          <w:rFonts w:asciiTheme="minorHAnsi" w:hAnsiTheme="minorHAnsi" w:cstheme="minorHAnsi"/>
          <w:sz w:val="16"/>
          <w:szCs w:val="16"/>
          <w:lang w:val="en-US"/>
        </w:rPr>
      </w:pPr>
      <w:r w:rsidRPr="00D37A6F">
        <w:rPr>
          <w:rFonts w:asciiTheme="minorHAnsi" w:hAnsiTheme="minorHAnsi"/>
          <w:sz w:val="16"/>
          <w:szCs w:val="16"/>
        </w:rPr>
        <w:t xml:space="preserve">Evans TM, Bira L, Gastelum JB, Weiss LT, Vanderford NL. </w:t>
      </w:r>
      <w:r w:rsidRPr="00D37A6F">
        <w:rPr>
          <w:rFonts w:asciiTheme="minorHAnsi" w:hAnsiTheme="minorHAnsi"/>
          <w:sz w:val="16"/>
          <w:szCs w:val="16"/>
          <w:lang w:val="en-US"/>
        </w:rPr>
        <w:t xml:space="preserve">(2018) Evidence for a mental health crisis in graduate education. </w:t>
      </w:r>
      <w:r w:rsidRPr="00D37A6F">
        <w:rPr>
          <w:rFonts w:asciiTheme="minorHAnsi" w:hAnsiTheme="minorHAnsi"/>
          <w:i/>
          <w:sz w:val="16"/>
          <w:szCs w:val="16"/>
          <w:lang w:val="en-US"/>
        </w:rPr>
        <w:t>Nat Biotechnol</w:t>
      </w:r>
      <w:r w:rsidRPr="00D37A6F">
        <w:rPr>
          <w:rFonts w:asciiTheme="minorHAnsi" w:hAnsiTheme="minorHAnsi"/>
          <w:sz w:val="16"/>
          <w:szCs w:val="16"/>
          <w:lang w:val="en-US"/>
        </w:rPr>
        <w:t>. 36(3):282–284. PMID: 29509732</w:t>
      </w:r>
      <w:r w:rsidRPr="00D37A6F">
        <w:rPr>
          <w:rStyle w:val="selectable"/>
          <w:rFonts w:asciiTheme="minorHAnsi" w:hAnsiTheme="minorHAnsi"/>
          <w:color w:val="000000"/>
          <w:sz w:val="16"/>
          <w:szCs w:val="16"/>
          <w:shd w:val="clear" w:color="auto" w:fill="FFFFFF"/>
          <w:lang w:val="en-US"/>
        </w:rPr>
        <w:t>.</w:t>
      </w:r>
    </w:p>
    <w:p w:rsidR="00C70A52" w:rsidRPr="00B96E02" w:rsidRDefault="0044410B" w:rsidP="002B773F">
      <w:pPr>
        <w:pStyle w:val="Listenabsatz"/>
        <w:numPr>
          <w:ilvl w:val="0"/>
          <w:numId w:val="1"/>
        </w:numPr>
        <w:spacing w:after="80" w:line="240" w:lineRule="auto"/>
        <w:ind w:hanging="357"/>
        <w:contextualSpacing w:val="0"/>
        <w:jc w:val="both"/>
        <w:rPr>
          <w:rFonts w:asciiTheme="minorHAnsi" w:hAnsiTheme="minorHAnsi" w:cstheme="minorHAnsi"/>
          <w:sz w:val="16"/>
          <w:szCs w:val="16"/>
          <w:lang w:val="en-US"/>
        </w:rPr>
      </w:pPr>
      <w:r w:rsidRPr="00B96E02">
        <w:rPr>
          <w:rFonts w:asciiTheme="minorHAnsi" w:hAnsiTheme="minorHAnsi"/>
          <w:sz w:val="16"/>
          <w:szCs w:val="16"/>
          <w:lang w:val="en-US"/>
        </w:rPr>
        <w:t>PhDnet (2017) PhDnet Survey 2017 Report. March 5, 2018.</w:t>
      </w:r>
      <w:r w:rsidRPr="00B96E02">
        <w:rPr>
          <w:rFonts w:asciiTheme="minorHAnsi" w:hAnsiTheme="minorHAnsi"/>
          <w:i/>
          <w:sz w:val="16"/>
          <w:szCs w:val="16"/>
          <w:lang w:val="en-US"/>
        </w:rPr>
        <w:t xml:space="preserve"> Available at: </w:t>
      </w:r>
      <w:r w:rsidRPr="00B96E02">
        <w:rPr>
          <w:rStyle w:val="Hyperlink"/>
          <w:rFonts w:asciiTheme="minorHAnsi" w:hAnsiTheme="minorHAnsi"/>
          <w:color w:val="auto"/>
          <w:sz w:val="16"/>
          <w:szCs w:val="16"/>
          <w:u w:val="none"/>
          <w:lang w:val="en-US"/>
        </w:rPr>
        <w:t>https://www.phdnet.mpg.de/41701/PhDnet-Survey-2017-Final-Report.pd</w:t>
      </w:r>
      <w:r w:rsidRPr="00B96E02">
        <w:rPr>
          <w:rFonts w:asciiTheme="minorHAnsi" w:hAnsiTheme="minorHAnsi"/>
          <w:sz w:val="16"/>
          <w:szCs w:val="16"/>
          <w:lang w:val="en-US"/>
        </w:rPr>
        <w:t>.</w:t>
      </w:r>
    </w:p>
    <w:p w:rsidR="00C70A52" w:rsidRPr="00D37A6F" w:rsidRDefault="0044410B" w:rsidP="002B773F">
      <w:pPr>
        <w:pStyle w:val="Kommentartext"/>
        <w:numPr>
          <w:ilvl w:val="0"/>
          <w:numId w:val="1"/>
        </w:numPr>
        <w:spacing w:after="80"/>
        <w:ind w:hanging="357"/>
        <w:jc w:val="both"/>
        <w:rPr>
          <w:rFonts w:asciiTheme="minorHAnsi" w:hAnsiTheme="minorHAnsi" w:cstheme="minorHAnsi"/>
          <w:sz w:val="16"/>
          <w:szCs w:val="16"/>
        </w:rPr>
      </w:pPr>
      <w:r w:rsidRPr="00D37A6F">
        <w:rPr>
          <w:rFonts w:asciiTheme="minorHAnsi" w:hAnsiTheme="minorHAnsi"/>
          <w:sz w:val="16"/>
          <w:szCs w:val="16"/>
        </w:rPr>
        <w:t>Regler, B., Einhorn, L., Lasser, J., Vögele, M., Elizarova, S., Bäuerle, F., et al. (2019).</w:t>
      </w:r>
      <w:r w:rsidRPr="00D37A6F">
        <w:rPr>
          <w:rFonts w:asciiTheme="minorHAnsi" w:hAnsiTheme="minorHAnsi"/>
          <w:i/>
          <w:sz w:val="16"/>
          <w:szCs w:val="16"/>
        </w:rPr>
        <w:t xml:space="preserve"> </w:t>
      </w:r>
      <w:r w:rsidRPr="00D37A6F">
        <w:rPr>
          <w:rFonts w:asciiTheme="minorHAnsi" w:hAnsiTheme="minorHAnsi"/>
          <w:sz w:val="16"/>
          <w:szCs w:val="16"/>
        </w:rPr>
        <w:t>PhDnet Report 2018. doi:10.17617/2.3052826</w:t>
      </w:r>
      <w:r w:rsidRPr="00D37A6F">
        <w:rPr>
          <w:rFonts w:asciiTheme="minorHAnsi" w:hAnsiTheme="minorHAnsi"/>
          <w:color w:val="222222"/>
          <w:sz w:val="16"/>
          <w:szCs w:val="16"/>
          <w:shd w:val="clear" w:color="auto" w:fill="FFFFFF"/>
        </w:rPr>
        <w:t>.</w:t>
      </w:r>
    </w:p>
    <w:p w:rsidR="000121EA" w:rsidRPr="00D37A6F" w:rsidRDefault="0063728B" w:rsidP="002B773F">
      <w:pPr>
        <w:pStyle w:val="Kommentartext"/>
        <w:numPr>
          <w:ilvl w:val="0"/>
          <w:numId w:val="1"/>
        </w:numPr>
        <w:spacing w:after="80"/>
        <w:ind w:hanging="357"/>
        <w:jc w:val="both"/>
        <w:rPr>
          <w:rFonts w:asciiTheme="minorHAnsi" w:hAnsiTheme="minorHAnsi" w:cstheme="minorHAnsi"/>
          <w:sz w:val="16"/>
          <w:szCs w:val="16"/>
        </w:rPr>
      </w:pPr>
      <w:r w:rsidRPr="00B96E02">
        <w:rPr>
          <w:rFonts w:asciiTheme="minorHAnsi" w:hAnsiTheme="minorHAnsi"/>
          <w:color w:val="222222"/>
          <w:sz w:val="16"/>
          <w:szCs w:val="16"/>
          <w:shd w:val="clear" w:color="auto" w:fill="FFFFFF"/>
          <w:lang w:val="en-US"/>
        </w:rPr>
        <w:t xml:space="preserve">Bostock, S., Crosswell AD., Prather, AA., Steptoe, A., (2019). Mindfulness on-the-go: Effects of a mindfulness meditation app on work stress and well-being. </w:t>
      </w:r>
      <w:r w:rsidRPr="00D37A6F">
        <w:rPr>
          <w:rFonts w:asciiTheme="minorHAnsi" w:hAnsiTheme="minorHAnsi"/>
          <w:i/>
          <w:color w:val="222222"/>
          <w:sz w:val="16"/>
          <w:szCs w:val="16"/>
          <w:shd w:val="clear" w:color="auto" w:fill="FFFFFF"/>
        </w:rPr>
        <w:t>J Occup Health Pschol.</w:t>
      </w:r>
      <w:r w:rsidRPr="00D37A6F">
        <w:rPr>
          <w:rFonts w:asciiTheme="minorHAnsi" w:hAnsiTheme="minorHAnsi"/>
          <w:color w:val="222222"/>
          <w:sz w:val="16"/>
          <w:szCs w:val="16"/>
          <w:shd w:val="clear" w:color="auto" w:fill="FFFFFF"/>
        </w:rPr>
        <w:t>, (1): 127-138.</w:t>
      </w:r>
    </w:p>
    <w:p w:rsidR="0017113E" w:rsidRPr="00D37A6F" w:rsidRDefault="00221EFD" w:rsidP="002B773F">
      <w:pPr>
        <w:pStyle w:val="Kommentartext"/>
        <w:numPr>
          <w:ilvl w:val="0"/>
          <w:numId w:val="1"/>
        </w:numPr>
        <w:spacing w:after="80"/>
        <w:ind w:hanging="357"/>
        <w:jc w:val="both"/>
        <w:rPr>
          <w:rFonts w:asciiTheme="minorHAnsi" w:hAnsiTheme="minorHAnsi" w:cstheme="minorHAnsi"/>
          <w:sz w:val="16"/>
          <w:szCs w:val="16"/>
        </w:rPr>
      </w:pPr>
      <w:r w:rsidRPr="00B96E02">
        <w:rPr>
          <w:rFonts w:asciiTheme="minorHAnsi" w:hAnsiTheme="minorHAnsi"/>
          <w:sz w:val="16"/>
          <w:szCs w:val="16"/>
          <w:lang w:val="en-US"/>
        </w:rPr>
        <w:t xml:space="preserve">Chag, CY., Chen, PK., (2005). Human Response to Window Views and Indoor Plants in the Worspace. </w:t>
      </w:r>
      <w:r w:rsidRPr="00D37A6F">
        <w:rPr>
          <w:rFonts w:asciiTheme="minorHAnsi" w:hAnsiTheme="minorHAnsi"/>
          <w:i/>
          <w:sz w:val="16"/>
          <w:szCs w:val="16"/>
        </w:rPr>
        <w:t>HortScience.</w:t>
      </w:r>
      <w:r w:rsidRPr="00D37A6F">
        <w:rPr>
          <w:rFonts w:asciiTheme="minorHAnsi" w:hAnsiTheme="minorHAnsi"/>
          <w:sz w:val="16"/>
          <w:szCs w:val="16"/>
        </w:rPr>
        <w:t xml:space="preserve"> 40 (5): 1354-1359.</w:t>
      </w:r>
    </w:p>
    <w:p w:rsidR="000121EA" w:rsidRPr="002B773F" w:rsidRDefault="00C3662F" w:rsidP="002B773F">
      <w:pPr>
        <w:pStyle w:val="Kommentartext"/>
        <w:numPr>
          <w:ilvl w:val="0"/>
          <w:numId w:val="1"/>
        </w:numPr>
        <w:spacing w:before="240" w:after="80"/>
        <w:ind w:hanging="357"/>
        <w:jc w:val="both"/>
        <w:rPr>
          <w:rFonts w:asciiTheme="minorHAnsi" w:hAnsiTheme="minorHAnsi" w:cstheme="minorHAnsi"/>
          <w:vanish/>
          <w:sz w:val="16"/>
          <w:szCs w:val="16"/>
        </w:rPr>
        <w:sectPr w:rsidR="000121EA" w:rsidRPr="002B773F">
          <w:type w:val="continuous"/>
          <w:pgSz w:w="12240" w:h="15840"/>
          <w:pgMar w:top="1417" w:right="1417" w:bottom="1134" w:left="1417" w:header="708" w:footer="708" w:gutter="0"/>
          <w:cols w:space="709"/>
          <w:docGrid w:linePitch="360"/>
        </w:sectPr>
      </w:pPr>
      <w:r w:rsidRPr="00B96E02">
        <w:rPr>
          <w:rFonts w:asciiTheme="minorHAnsi" w:hAnsiTheme="minorHAnsi"/>
          <w:sz w:val="16"/>
          <w:szCs w:val="16"/>
          <w:lang w:val="en-US"/>
        </w:rPr>
        <w:t xml:space="preserve">Gascon, M., Triguero-Mas, M., Martinez. D., Davand, P., Rojas-Rueda, D., Plasencia, A., Nieuwenhijsen, MJ., (2016). Residential green spaces and mortality: A systematic review. </w:t>
      </w:r>
      <w:r w:rsidRPr="00D37A6F">
        <w:rPr>
          <w:rFonts w:asciiTheme="minorHAnsi" w:hAnsiTheme="minorHAnsi"/>
          <w:i/>
          <w:sz w:val="16"/>
          <w:szCs w:val="16"/>
        </w:rPr>
        <w:t>Environ Int.</w:t>
      </w:r>
      <w:r w:rsidRPr="00D37A6F">
        <w:rPr>
          <w:rFonts w:asciiTheme="minorHAnsi" w:hAnsiTheme="minorHAnsi"/>
          <w:sz w:val="16"/>
          <w:szCs w:val="16"/>
        </w:rPr>
        <w:t xml:space="preserve"> 86: 60-70.</w:t>
      </w:r>
    </w:p>
    <w:p w:rsidR="00C70A52" w:rsidRPr="0063728B" w:rsidRDefault="00C70A52" w:rsidP="00204779">
      <w:pPr>
        <w:rPr>
          <w:sz w:val="20"/>
          <w:szCs w:val="14"/>
        </w:rPr>
      </w:pPr>
    </w:p>
    <w:sectPr w:rsidR="00C70A52" w:rsidRPr="0063728B">
      <w:type w:val="continuous"/>
      <w:pgSz w:w="12240" w:h="15840"/>
      <w:pgMar w:top="1417" w:right="1417" w:bottom="1134" w:left="1417"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605" w:rsidRDefault="002A6605">
      <w:pPr>
        <w:spacing w:after="0" w:line="240" w:lineRule="auto"/>
      </w:pPr>
      <w:r>
        <w:separator/>
      </w:r>
    </w:p>
  </w:endnote>
  <w:endnote w:type="continuationSeparator" w:id="0">
    <w:p w:rsidR="002A6605" w:rsidRDefault="002A66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605" w:rsidRDefault="002A6605">
      <w:pPr>
        <w:spacing w:after="0" w:line="240" w:lineRule="auto"/>
      </w:pPr>
      <w:r>
        <w:separator/>
      </w:r>
    </w:p>
  </w:footnote>
  <w:footnote w:type="continuationSeparator" w:id="0">
    <w:p w:rsidR="002A6605" w:rsidRDefault="002A66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3211C"/>
    <w:multiLevelType w:val="hybridMultilevel"/>
    <w:tmpl w:val="D23E2622"/>
    <w:lvl w:ilvl="0" w:tplc="33F49A88">
      <w:start w:val="1"/>
      <w:numFmt w:val="bullet"/>
      <w:lvlText w:val=""/>
      <w:lvlJc w:val="left"/>
      <w:pPr>
        <w:tabs>
          <w:tab w:val="left" w:pos="720"/>
        </w:tabs>
        <w:ind w:left="720" w:hanging="359"/>
      </w:pPr>
      <w:rPr>
        <w:rFonts w:ascii="Symbol" w:hAnsi="Symbol" w:hint="default"/>
        <w:sz w:val="20"/>
      </w:rPr>
    </w:lvl>
    <w:lvl w:ilvl="1" w:tplc="E6D4D26C">
      <w:start w:val="1"/>
      <w:numFmt w:val="bullet"/>
      <w:lvlText w:val="o"/>
      <w:lvlJc w:val="left"/>
      <w:pPr>
        <w:tabs>
          <w:tab w:val="left" w:pos="1440"/>
        </w:tabs>
        <w:ind w:left="1440" w:hanging="359"/>
      </w:pPr>
      <w:rPr>
        <w:rFonts w:ascii="Courier New" w:hAnsi="Courier New" w:hint="default"/>
        <w:sz w:val="20"/>
      </w:rPr>
    </w:lvl>
    <w:lvl w:ilvl="2" w:tplc="EE9A1A40">
      <w:start w:val="1"/>
      <w:numFmt w:val="bullet"/>
      <w:lvlText w:val=""/>
      <w:lvlJc w:val="left"/>
      <w:pPr>
        <w:tabs>
          <w:tab w:val="left" w:pos="2160"/>
        </w:tabs>
        <w:ind w:left="2160" w:hanging="359"/>
      </w:pPr>
      <w:rPr>
        <w:rFonts w:ascii="Wingdings" w:hAnsi="Wingdings" w:hint="default"/>
        <w:sz w:val="20"/>
      </w:rPr>
    </w:lvl>
    <w:lvl w:ilvl="3" w:tplc="8A0A0EB0">
      <w:start w:val="1"/>
      <w:numFmt w:val="bullet"/>
      <w:lvlText w:val=""/>
      <w:lvlJc w:val="left"/>
      <w:pPr>
        <w:tabs>
          <w:tab w:val="left" w:pos="2880"/>
        </w:tabs>
        <w:ind w:left="2880" w:hanging="359"/>
      </w:pPr>
      <w:rPr>
        <w:rFonts w:ascii="Wingdings" w:hAnsi="Wingdings" w:hint="default"/>
        <w:sz w:val="20"/>
      </w:rPr>
    </w:lvl>
    <w:lvl w:ilvl="4" w:tplc="EE1E7F68">
      <w:start w:val="1"/>
      <w:numFmt w:val="bullet"/>
      <w:lvlText w:val=""/>
      <w:lvlJc w:val="left"/>
      <w:pPr>
        <w:tabs>
          <w:tab w:val="left" w:pos="3600"/>
        </w:tabs>
        <w:ind w:left="3600" w:hanging="359"/>
      </w:pPr>
      <w:rPr>
        <w:rFonts w:ascii="Wingdings" w:hAnsi="Wingdings" w:hint="default"/>
        <w:sz w:val="20"/>
      </w:rPr>
    </w:lvl>
    <w:lvl w:ilvl="5" w:tplc="3B440512">
      <w:start w:val="1"/>
      <w:numFmt w:val="bullet"/>
      <w:lvlText w:val=""/>
      <w:lvlJc w:val="left"/>
      <w:pPr>
        <w:tabs>
          <w:tab w:val="left" w:pos="4320"/>
        </w:tabs>
        <w:ind w:left="4320" w:hanging="359"/>
      </w:pPr>
      <w:rPr>
        <w:rFonts w:ascii="Wingdings" w:hAnsi="Wingdings" w:hint="default"/>
        <w:sz w:val="20"/>
      </w:rPr>
    </w:lvl>
    <w:lvl w:ilvl="6" w:tplc="05D89F40">
      <w:start w:val="1"/>
      <w:numFmt w:val="bullet"/>
      <w:lvlText w:val=""/>
      <w:lvlJc w:val="left"/>
      <w:pPr>
        <w:tabs>
          <w:tab w:val="left" w:pos="5040"/>
        </w:tabs>
        <w:ind w:left="5040" w:hanging="359"/>
      </w:pPr>
      <w:rPr>
        <w:rFonts w:ascii="Wingdings" w:hAnsi="Wingdings" w:hint="default"/>
        <w:sz w:val="20"/>
      </w:rPr>
    </w:lvl>
    <w:lvl w:ilvl="7" w:tplc="ECF05A2C">
      <w:start w:val="1"/>
      <w:numFmt w:val="bullet"/>
      <w:lvlText w:val=""/>
      <w:lvlJc w:val="left"/>
      <w:pPr>
        <w:tabs>
          <w:tab w:val="left" w:pos="5760"/>
        </w:tabs>
        <w:ind w:left="5760" w:hanging="359"/>
      </w:pPr>
      <w:rPr>
        <w:rFonts w:ascii="Wingdings" w:hAnsi="Wingdings" w:hint="default"/>
        <w:sz w:val="20"/>
      </w:rPr>
    </w:lvl>
    <w:lvl w:ilvl="8" w:tplc="B97C4662">
      <w:start w:val="1"/>
      <w:numFmt w:val="bullet"/>
      <w:lvlText w:val=""/>
      <w:lvlJc w:val="left"/>
      <w:pPr>
        <w:tabs>
          <w:tab w:val="left" w:pos="6480"/>
        </w:tabs>
        <w:ind w:left="6480" w:hanging="359"/>
      </w:pPr>
      <w:rPr>
        <w:rFonts w:ascii="Wingdings" w:hAnsi="Wingdings" w:hint="default"/>
        <w:sz w:val="20"/>
      </w:rPr>
    </w:lvl>
  </w:abstractNum>
  <w:abstractNum w:abstractNumId="1" w15:restartNumberingAfterBreak="0">
    <w:nsid w:val="40D20906"/>
    <w:multiLevelType w:val="hybridMultilevel"/>
    <w:tmpl w:val="A2EE3782"/>
    <w:lvl w:ilvl="0" w:tplc="ECBC66F6">
      <w:start w:val="1"/>
      <w:numFmt w:val="bullet"/>
      <w:lvlText w:val=""/>
      <w:lvlJc w:val="left"/>
      <w:pPr>
        <w:tabs>
          <w:tab w:val="left" w:pos="720"/>
        </w:tabs>
        <w:ind w:left="720" w:hanging="359"/>
      </w:pPr>
      <w:rPr>
        <w:rFonts w:ascii="Symbol" w:hAnsi="Symbol" w:hint="default"/>
        <w:sz w:val="20"/>
      </w:rPr>
    </w:lvl>
    <w:lvl w:ilvl="1" w:tplc="516C14AA">
      <w:start w:val="1"/>
      <w:numFmt w:val="bullet"/>
      <w:lvlText w:val="o"/>
      <w:lvlJc w:val="left"/>
      <w:pPr>
        <w:tabs>
          <w:tab w:val="left" w:pos="1440"/>
        </w:tabs>
        <w:ind w:left="1440" w:hanging="359"/>
      </w:pPr>
      <w:rPr>
        <w:rFonts w:ascii="Courier New" w:hAnsi="Courier New" w:hint="default"/>
        <w:sz w:val="20"/>
      </w:rPr>
    </w:lvl>
    <w:lvl w:ilvl="2" w:tplc="1744D44C">
      <w:start w:val="1"/>
      <w:numFmt w:val="bullet"/>
      <w:lvlText w:val=""/>
      <w:lvlJc w:val="left"/>
      <w:pPr>
        <w:tabs>
          <w:tab w:val="left" w:pos="2160"/>
        </w:tabs>
        <w:ind w:left="2160" w:hanging="359"/>
      </w:pPr>
      <w:rPr>
        <w:rFonts w:ascii="Wingdings" w:hAnsi="Wingdings" w:hint="default"/>
        <w:sz w:val="20"/>
      </w:rPr>
    </w:lvl>
    <w:lvl w:ilvl="3" w:tplc="FC866A62">
      <w:start w:val="1"/>
      <w:numFmt w:val="bullet"/>
      <w:lvlText w:val=""/>
      <w:lvlJc w:val="left"/>
      <w:pPr>
        <w:tabs>
          <w:tab w:val="left" w:pos="2880"/>
        </w:tabs>
        <w:ind w:left="2880" w:hanging="359"/>
      </w:pPr>
      <w:rPr>
        <w:rFonts w:ascii="Wingdings" w:hAnsi="Wingdings" w:hint="default"/>
        <w:sz w:val="20"/>
      </w:rPr>
    </w:lvl>
    <w:lvl w:ilvl="4" w:tplc="96C0C2C4">
      <w:start w:val="1"/>
      <w:numFmt w:val="bullet"/>
      <w:lvlText w:val=""/>
      <w:lvlJc w:val="left"/>
      <w:pPr>
        <w:tabs>
          <w:tab w:val="left" w:pos="3600"/>
        </w:tabs>
        <w:ind w:left="3600" w:hanging="359"/>
      </w:pPr>
      <w:rPr>
        <w:rFonts w:ascii="Wingdings" w:hAnsi="Wingdings" w:hint="default"/>
        <w:sz w:val="20"/>
      </w:rPr>
    </w:lvl>
    <w:lvl w:ilvl="5" w:tplc="8494C224">
      <w:start w:val="1"/>
      <w:numFmt w:val="bullet"/>
      <w:lvlText w:val=""/>
      <w:lvlJc w:val="left"/>
      <w:pPr>
        <w:tabs>
          <w:tab w:val="left" w:pos="4320"/>
        </w:tabs>
        <w:ind w:left="4320" w:hanging="359"/>
      </w:pPr>
      <w:rPr>
        <w:rFonts w:ascii="Wingdings" w:hAnsi="Wingdings" w:hint="default"/>
        <w:sz w:val="20"/>
      </w:rPr>
    </w:lvl>
    <w:lvl w:ilvl="6" w:tplc="8C94934C">
      <w:start w:val="1"/>
      <w:numFmt w:val="bullet"/>
      <w:lvlText w:val=""/>
      <w:lvlJc w:val="left"/>
      <w:pPr>
        <w:tabs>
          <w:tab w:val="left" w:pos="5040"/>
        </w:tabs>
        <w:ind w:left="5040" w:hanging="359"/>
      </w:pPr>
      <w:rPr>
        <w:rFonts w:ascii="Wingdings" w:hAnsi="Wingdings" w:hint="default"/>
        <w:sz w:val="20"/>
      </w:rPr>
    </w:lvl>
    <w:lvl w:ilvl="7" w:tplc="683E95B6">
      <w:start w:val="1"/>
      <w:numFmt w:val="bullet"/>
      <w:lvlText w:val=""/>
      <w:lvlJc w:val="left"/>
      <w:pPr>
        <w:tabs>
          <w:tab w:val="left" w:pos="5760"/>
        </w:tabs>
        <w:ind w:left="5760" w:hanging="359"/>
      </w:pPr>
      <w:rPr>
        <w:rFonts w:ascii="Wingdings" w:hAnsi="Wingdings" w:hint="default"/>
        <w:sz w:val="20"/>
      </w:rPr>
    </w:lvl>
    <w:lvl w:ilvl="8" w:tplc="D5E426FA">
      <w:start w:val="1"/>
      <w:numFmt w:val="bullet"/>
      <w:lvlText w:val=""/>
      <w:lvlJc w:val="left"/>
      <w:pPr>
        <w:tabs>
          <w:tab w:val="left" w:pos="6480"/>
        </w:tabs>
        <w:ind w:left="6480" w:hanging="359"/>
      </w:pPr>
      <w:rPr>
        <w:rFonts w:ascii="Wingdings" w:hAnsi="Wingdings" w:hint="default"/>
        <w:sz w:val="20"/>
      </w:rPr>
    </w:lvl>
  </w:abstractNum>
  <w:abstractNum w:abstractNumId="2" w15:restartNumberingAfterBreak="0">
    <w:nsid w:val="4F7A3910"/>
    <w:multiLevelType w:val="hybridMultilevel"/>
    <w:tmpl w:val="A6269E2C"/>
    <w:lvl w:ilvl="0" w:tplc="82AA3D38">
      <w:start w:val="1"/>
      <w:numFmt w:val="decimal"/>
      <w:lvlText w:val="%1."/>
      <w:lvlJc w:val="left"/>
      <w:pPr>
        <w:ind w:left="720" w:hanging="358"/>
      </w:pPr>
      <w:rPr>
        <w:rFonts w:hint="default"/>
        <w:i w:val="0"/>
      </w:rPr>
    </w:lvl>
    <w:lvl w:ilvl="1" w:tplc="1DB86BCC">
      <w:start w:val="1"/>
      <w:numFmt w:val="lowerLetter"/>
      <w:lvlText w:val="%2."/>
      <w:lvlJc w:val="left"/>
      <w:pPr>
        <w:ind w:left="1440" w:hanging="358"/>
      </w:pPr>
    </w:lvl>
    <w:lvl w:ilvl="2" w:tplc="13063C5C">
      <w:start w:val="1"/>
      <w:numFmt w:val="lowerRoman"/>
      <w:lvlText w:val="%3."/>
      <w:lvlJc w:val="right"/>
      <w:pPr>
        <w:ind w:left="2160" w:hanging="178"/>
      </w:pPr>
    </w:lvl>
    <w:lvl w:ilvl="3" w:tplc="F90CCB3A">
      <w:start w:val="1"/>
      <w:numFmt w:val="decimal"/>
      <w:lvlText w:val="%4."/>
      <w:lvlJc w:val="left"/>
      <w:pPr>
        <w:ind w:left="2880" w:hanging="358"/>
      </w:pPr>
    </w:lvl>
    <w:lvl w:ilvl="4" w:tplc="FAD6B050">
      <w:start w:val="1"/>
      <w:numFmt w:val="lowerLetter"/>
      <w:lvlText w:val="%5."/>
      <w:lvlJc w:val="left"/>
      <w:pPr>
        <w:ind w:left="3600" w:hanging="358"/>
      </w:pPr>
    </w:lvl>
    <w:lvl w:ilvl="5" w:tplc="78D4EAB0">
      <w:start w:val="1"/>
      <w:numFmt w:val="lowerRoman"/>
      <w:lvlText w:val="%6."/>
      <w:lvlJc w:val="right"/>
      <w:pPr>
        <w:ind w:left="4320" w:hanging="178"/>
      </w:pPr>
    </w:lvl>
    <w:lvl w:ilvl="6" w:tplc="ECBEE9C4">
      <w:start w:val="1"/>
      <w:numFmt w:val="decimal"/>
      <w:lvlText w:val="%7."/>
      <w:lvlJc w:val="left"/>
      <w:pPr>
        <w:ind w:left="5040" w:hanging="358"/>
      </w:pPr>
    </w:lvl>
    <w:lvl w:ilvl="7" w:tplc="9BF6C4D4">
      <w:start w:val="1"/>
      <w:numFmt w:val="lowerLetter"/>
      <w:lvlText w:val="%8."/>
      <w:lvlJc w:val="left"/>
      <w:pPr>
        <w:ind w:left="5760" w:hanging="358"/>
      </w:pPr>
    </w:lvl>
    <w:lvl w:ilvl="8" w:tplc="8BDC1FC0">
      <w:start w:val="1"/>
      <w:numFmt w:val="lowerRoman"/>
      <w:lvlText w:val="%9."/>
      <w:lvlJc w:val="right"/>
      <w:pPr>
        <w:ind w:left="6480" w:hanging="178"/>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52"/>
    <w:rsid w:val="000121EA"/>
    <w:rsid w:val="00074718"/>
    <w:rsid w:val="0007786E"/>
    <w:rsid w:val="000D4042"/>
    <w:rsid w:val="0017113E"/>
    <w:rsid w:val="00193988"/>
    <w:rsid w:val="001D27B0"/>
    <w:rsid w:val="00204779"/>
    <w:rsid w:val="0022020C"/>
    <w:rsid w:val="00221EFD"/>
    <w:rsid w:val="002A6605"/>
    <w:rsid w:val="002B773F"/>
    <w:rsid w:val="002F2710"/>
    <w:rsid w:val="003E1DB2"/>
    <w:rsid w:val="003E44A6"/>
    <w:rsid w:val="004051F6"/>
    <w:rsid w:val="0044410B"/>
    <w:rsid w:val="00456FE3"/>
    <w:rsid w:val="0063728B"/>
    <w:rsid w:val="009F3266"/>
    <w:rsid w:val="00A666A7"/>
    <w:rsid w:val="00B96E02"/>
    <w:rsid w:val="00C3662F"/>
    <w:rsid w:val="00C70A52"/>
    <w:rsid w:val="00D37A6F"/>
    <w:rsid w:val="00D9422E"/>
    <w:rsid w:val="00EB444A"/>
    <w:rsid w:val="00ED3079"/>
    <w:rsid w:val="00F07E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F74418"/>
  <w15:docId w15:val="{E4B7D3DB-B5E8-45FA-BBC2-7B62CD76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1"/>
        <w:szCs w:val="21"/>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360" w:after="40" w:line="240" w:lineRule="auto"/>
      <w:outlineLvl w:val="0"/>
    </w:pPr>
    <w:rPr>
      <w:rFonts w:ascii="Calibri Light" w:eastAsia="Calibri Light" w:hAnsi="Calibri Light" w:cs="Calibri Light"/>
      <w:color w:val="538135" w:themeColor="accent6" w:themeShade="BF"/>
      <w:sz w:val="36"/>
      <w:szCs w:val="40"/>
    </w:rPr>
  </w:style>
  <w:style w:type="paragraph" w:styleId="berschrift2">
    <w:name w:val="heading 2"/>
    <w:basedOn w:val="Standard"/>
    <w:next w:val="Standard"/>
    <w:link w:val="berschrift2Zchn"/>
    <w:uiPriority w:val="9"/>
    <w:semiHidden/>
    <w:unhideWhenUsed/>
    <w:qFormat/>
    <w:pPr>
      <w:keepNext/>
      <w:keepLines/>
      <w:spacing w:before="80" w:after="0" w:line="240" w:lineRule="auto"/>
      <w:outlineLvl w:val="1"/>
    </w:pPr>
    <w:rPr>
      <w:rFonts w:ascii="Calibri Light" w:eastAsia="Calibri Light" w:hAnsi="Calibri Light" w:cs="Calibri Light"/>
      <w:color w:val="538135" w:themeColor="accent6" w:themeShade="BF"/>
      <w:sz w:val="28"/>
      <w:szCs w:val="28"/>
    </w:rPr>
  </w:style>
  <w:style w:type="paragraph" w:styleId="berschrift3">
    <w:name w:val="heading 3"/>
    <w:basedOn w:val="Standard"/>
    <w:next w:val="Standard"/>
    <w:link w:val="berschrift3Zchn"/>
    <w:uiPriority w:val="9"/>
    <w:semiHidden/>
    <w:unhideWhenUsed/>
    <w:qFormat/>
    <w:pPr>
      <w:keepNext/>
      <w:keepLines/>
      <w:spacing w:before="80" w:after="0" w:line="240" w:lineRule="auto"/>
      <w:outlineLvl w:val="2"/>
    </w:pPr>
    <w:rPr>
      <w:rFonts w:ascii="Calibri Light" w:eastAsia="Calibri Light" w:hAnsi="Calibri Light" w:cs="Calibri Light"/>
      <w:color w:val="538135" w:themeColor="accent6" w:themeShade="BF"/>
      <w:sz w:val="24"/>
      <w:szCs w:val="24"/>
    </w:rPr>
  </w:style>
  <w:style w:type="paragraph" w:styleId="berschrift4">
    <w:name w:val="heading 4"/>
    <w:basedOn w:val="Standard"/>
    <w:next w:val="Standard"/>
    <w:link w:val="berschrift4Zchn"/>
    <w:uiPriority w:val="9"/>
    <w:semiHidden/>
    <w:unhideWhenUsed/>
    <w:qFormat/>
    <w:pPr>
      <w:keepNext/>
      <w:keepLines/>
      <w:spacing w:before="80" w:after="0"/>
      <w:outlineLvl w:val="3"/>
    </w:pPr>
    <w:rPr>
      <w:rFonts w:ascii="Calibri Light" w:eastAsia="Calibri Light" w:hAnsi="Calibri Light" w:cs="Calibri Light"/>
      <w:color w:val="70AD47" w:themeColor="accent6"/>
      <w:sz w:val="22"/>
      <w:szCs w:val="22"/>
    </w:rPr>
  </w:style>
  <w:style w:type="paragraph" w:styleId="berschrift5">
    <w:name w:val="heading 5"/>
    <w:basedOn w:val="Standard"/>
    <w:next w:val="Standard"/>
    <w:link w:val="berschrift5Zchn"/>
    <w:uiPriority w:val="9"/>
    <w:semiHidden/>
    <w:unhideWhenUsed/>
    <w:qFormat/>
    <w:pPr>
      <w:keepNext/>
      <w:keepLines/>
      <w:spacing w:before="40" w:after="0"/>
      <w:outlineLvl w:val="4"/>
    </w:pPr>
    <w:rPr>
      <w:rFonts w:ascii="Calibri Light" w:eastAsia="Calibri Light" w:hAnsi="Calibri Light" w:cs="Calibri Light"/>
      <w:i/>
      <w:iCs/>
      <w:color w:val="70AD47" w:themeColor="accent6"/>
      <w:sz w:val="22"/>
      <w:szCs w:val="22"/>
    </w:rPr>
  </w:style>
  <w:style w:type="paragraph" w:styleId="berschrift6">
    <w:name w:val="heading 6"/>
    <w:basedOn w:val="Standard"/>
    <w:next w:val="Standard"/>
    <w:link w:val="berschrift6Zchn"/>
    <w:uiPriority w:val="9"/>
    <w:semiHidden/>
    <w:unhideWhenUsed/>
    <w:qFormat/>
    <w:pPr>
      <w:keepNext/>
      <w:keepLines/>
      <w:spacing w:before="40" w:after="0"/>
      <w:outlineLvl w:val="5"/>
    </w:pPr>
    <w:rPr>
      <w:rFonts w:ascii="Calibri Light" w:eastAsia="Calibri Light" w:hAnsi="Calibri Light" w:cs="Calibri Light"/>
      <w:color w:val="70AD47" w:themeColor="accent6"/>
    </w:rPr>
  </w:style>
  <w:style w:type="paragraph" w:styleId="berschrift7">
    <w:name w:val="heading 7"/>
    <w:basedOn w:val="Standard"/>
    <w:next w:val="Standard"/>
    <w:link w:val="berschrift7Zchn"/>
    <w:uiPriority w:val="9"/>
    <w:semiHidden/>
    <w:unhideWhenUsed/>
    <w:qFormat/>
    <w:pPr>
      <w:keepNext/>
      <w:keepLines/>
      <w:spacing w:before="40" w:after="0"/>
      <w:outlineLvl w:val="6"/>
    </w:pPr>
    <w:rPr>
      <w:rFonts w:ascii="Calibri Light" w:eastAsia="Calibri Light" w:hAnsi="Calibri Light" w:cs="Calibri Light"/>
      <w:b/>
      <w:bCs/>
      <w:color w:val="70AD47" w:themeColor="accent6"/>
    </w:rPr>
  </w:style>
  <w:style w:type="paragraph" w:styleId="berschrift8">
    <w:name w:val="heading 8"/>
    <w:basedOn w:val="Standard"/>
    <w:next w:val="Standard"/>
    <w:link w:val="berschrift8Zchn"/>
    <w:uiPriority w:val="9"/>
    <w:semiHidden/>
    <w:unhideWhenUsed/>
    <w:qFormat/>
    <w:pPr>
      <w:keepNext/>
      <w:keepLines/>
      <w:spacing w:before="40" w:after="0"/>
      <w:outlineLvl w:val="7"/>
    </w:pPr>
    <w:rPr>
      <w:rFonts w:ascii="Calibri Light" w:eastAsia="Calibri Light" w:hAnsi="Calibri Light" w:cs="Calibri Light"/>
      <w:b/>
      <w:bCs/>
      <w:i/>
      <w:iCs/>
      <w:color w:val="70AD47" w:themeColor="accent6"/>
      <w:sz w:val="20"/>
      <w:szCs w:val="20"/>
    </w:rPr>
  </w:style>
  <w:style w:type="paragraph" w:styleId="berschrift9">
    <w:name w:val="heading 9"/>
    <w:basedOn w:val="Standard"/>
    <w:next w:val="Standard"/>
    <w:link w:val="berschrift9Zchn"/>
    <w:uiPriority w:val="9"/>
    <w:semiHidden/>
    <w:unhideWhenUsed/>
    <w:qFormat/>
    <w:pPr>
      <w:keepNext/>
      <w:keepLines/>
      <w:spacing w:before="40" w:after="0"/>
      <w:outlineLvl w:val="8"/>
    </w:pPr>
    <w:rPr>
      <w:rFonts w:ascii="Calibri Light" w:eastAsia="Calibri Light" w:hAnsi="Calibri Light" w:cs="Calibri Light"/>
      <w:i/>
      <w:iCs/>
      <w:color w:val="70AD47" w:themeColor="accent6"/>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7143"/>
        <w:tab w:val="right" w:pos="14287"/>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NormaleTabelle"/>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NormaleTabelle"/>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NormaleTabelle"/>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NormaleTabelle"/>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NormaleTabelle"/>
    <w:uiPriority w:val="99"/>
    <w:pPr>
      <w:spacing w:after="0" w:line="240" w:lineRule="auto"/>
    </w:pPr>
    <w:rPr>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pPr>
      <w:spacing w:after="0" w:line="240" w:lineRule="auto"/>
    </w:pPr>
    <w:rPr>
      <w:color w:val="404040"/>
      <w:sz w:val="2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NormaleTabelle"/>
    <w:uiPriority w:val="99"/>
    <w:pPr>
      <w:spacing w:after="0" w:line="240" w:lineRule="auto"/>
    </w:pPr>
    <w:rPr>
      <w:color w:val="404040"/>
      <w:sz w:val="2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NormaleTabelle"/>
    <w:uiPriority w:val="99"/>
    <w:pPr>
      <w:spacing w:after="0" w:line="240" w:lineRule="auto"/>
    </w:pPr>
    <w:rPr>
      <w:color w:val="404040"/>
      <w:sz w:val="2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NormaleTabelle"/>
    <w:uiPriority w:val="99"/>
    <w:pPr>
      <w:spacing w:after="0" w:line="240" w:lineRule="auto"/>
    </w:pPr>
    <w:rPr>
      <w:color w:val="404040"/>
      <w:sz w:val="2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pPr>
      <w:spacing w:after="0" w:line="240" w:lineRule="auto"/>
    </w:pPr>
    <w:rPr>
      <w:color w:val="404040"/>
      <w:sz w:val="2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pPr>
      <w:spacing w:after="0" w:line="240" w:lineRule="auto"/>
    </w:pPr>
    <w:rPr>
      <w:color w:val="404040"/>
      <w:sz w:val="2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character" w:customStyle="1" w:styleId="berschrift1Zchn">
    <w:name w:val="Überschrift 1 Zchn"/>
    <w:basedOn w:val="Absatz-Standardschriftart"/>
    <w:link w:val="berschrift1"/>
    <w:uiPriority w:val="9"/>
    <w:rPr>
      <w:rFonts w:ascii="Calibri Light" w:eastAsia="Calibri Light" w:hAnsi="Calibri Light" w:cs="Calibri Light"/>
      <w:color w:val="538135" w:themeColor="accent6" w:themeShade="BF"/>
      <w:sz w:val="36"/>
      <w:szCs w:val="40"/>
    </w:rPr>
  </w:style>
  <w:style w:type="character" w:customStyle="1" w:styleId="berschrift2Zchn">
    <w:name w:val="Überschrift 2 Zchn"/>
    <w:basedOn w:val="Absatz-Standardschriftart"/>
    <w:link w:val="berschrift2"/>
    <w:uiPriority w:val="9"/>
    <w:semiHidden/>
    <w:rPr>
      <w:rFonts w:ascii="Calibri Light" w:eastAsia="Calibri Light" w:hAnsi="Calibri Light" w:cs="Calibri Light"/>
      <w:color w:val="538135" w:themeColor="accent6" w:themeShade="BF"/>
      <w:sz w:val="28"/>
      <w:szCs w:val="28"/>
    </w:rPr>
  </w:style>
  <w:style w:type="character" w:customStyle="1" w:styleId="berschrift3Zchn">
    <w:name w:val="Überschrift 3 Zchn"/>
    <w:basedOn w:val="Absatz-Standardschriftart"/>
    <w:link w:val="berschrift3"/>
    <w:uiPriority w:val="9"/>
    <w:semiHidden/>
    <w:rPr>
      <w:rFonts w:ascii="Calibri Light" w:eastAsia="Calibri Light" w:hAnsi="Calibri Light" w:cs="Calibri Light"/>
      <w:color w:val="538135" w:themeColor="accent6" w:themeShade="BF"/>
      <w:sz w:val="24"/>
      <w:szCs w:val="24"/>
    </w:rPr>
  </w:style>
  <w:style w:type="character" w:customStyle="1" w:styleId="berschrift4Zchn">
    <w:name w:val="Überschrift 4 Zchn"/>
    <w:basedOn w:val="Absatz-Standardschriftart"/>
    <w:link w:val="berschrift4"/>
    <w:uiPriority w:val="9"/>
    <w:semiHidden/>
    <w:rPr>
      <w:rFonts w:ascii="Calibri Light" w:eastAsia="Calibri Light" w:hAnsi="Calibri Light" w:cs="Calibri Light"/>
      <w:color w:val="70AD47" w:themeColor="accent6"/>
      <w:sz w:val="22"/>
      <w:szCs w:val="22"/>
    </w:rPr>
  </w:style>
  <w:style w:type="character" w:customStyle="1" w:styleId="berschrift5Zchn">
    <w:name w:val="Überschrift 5 Zchn"/>
    <w:basedOn w:val="Absatz-Standardschriftart"/>
    <w:link w:val="berschrift5"/>
    <w:uiPriority w:val="9"/>
    <w:semiHidden/>
    <w:rPr>
      <w:rFonts w:ascii="Calibri Light" w:eastAsia="Calibri Light" w:hAnsi="Calibri Light" w:cs="Calibri Light"/>
      <w:i/>
      <w:iCs/>
      <w:color w:val="70AD47" w:themeColor="accent6"/>
      <w:sz w:val="22"/>
      <w:szCs w:val="22"/>
    </w:rPr>
  </w:style>
  <w:style w:type="character" w:customStyle="1" w:styleId="berschrift6Zchn">
    <w:name w:val="Überschrift 6 Zchn"/>
    <w:basedOn w:val="Absatz-Standardschriftart"/>
    <w:link w:val="berschrift6"/>
    <w:uiPriority w:val="9"/>
    <w:semiHidden/>
    <w:rPr>
      <w:rFonts w:ascii="Calibri Light" w:eastAsia="Calibri Light" w:hAnsi="Calibri Light" w:cs="Calibri Light"/>
      <w:color w:val="70AD47" w:themeColor="accent6"/>
    </w:rPr>
  </w:style>
  <w:style w:type="character" w:customStyle="1" w:styleId="berschrift7Zchn">
    <w:name w:val="Überschrift 7 Zchn"/>
    <w:basedOn w:val="Absatz-Standardschriftart"/>
    <w:link w:val="berschrift7"/>
    <w:uiPriority w:val="9"/>
    <w:semiHidden/>
    <w:rPr>
      <w:rFonts w:ascii="Calibri Light" w:eastAsia="Calibri Light" w:hAnsi="Calibri Light" w:cs="Calibri Light"/>
      <w:b/>
      <w:bCs/>
      <w:color w:val="70AD47" w:themeColor="accent6"/>
    </w:rPr>
  </w:style>
  <w:style w:type="character" w:customStyle="1" w:styleId="berschrift8Zchn">
    <w:name w:val="Überschrift 8 Zchn"/>
    <w:basedOn w:val="Absatz-Standardschriftart"/>
    <w:link w:val="berschrift8"/>
    <w:uiPriority w:val="9"/>
    <w:semiHidden/>
    <w:rPr>
      <w:rFonts w:ascii="Calibri Light" w:eastAsia="Calibri Light" w:hAnsi="Calibri Light" w:cs="Calibri Light"/>
      <w:b/>
      <w:bCs/>
      <w:i/>
      <w:iCs/>
      <w:color w:val="70AD47" w:themeColor="accent6"/>
      <w:sz w:val="20"/>
      <w:szCs w:val="20"/>
    </w:rPr>
  </w:style>
  <w:style w:type="character" w:customStyle="1" w:styleId="berschrift9Zchn">
    <w:name w:val="Überschrift 9 Zchn"/>
    <w:basedOn w:val="Absatz-Standardschriftart"/>
    <w:link w:val="berschrift9"/>
    <w:uiPriority w:val="9"/>
    <w:semiHidden/>
    <w:rPr>
      <w:rFonts w:ascii="Calibri Light" w:eastAsia="Calibri Light" w:hAnsi="Calibri Light" w:cs="Calibri Light"/>
      <w:i/>
      <w:iCs/>
      <w:color w:val="70AD47" w:themeColor="accent6"/>
      <w:sz w:val="20"/>
      <w:szCs w:val="20"/>
    </w:rPr>
  </w:style>
  <w:style w:type="paragraph" w:styleId="Beschriftung">
    <w:name w:val="caption"/>
    <w:basedOn w:val="Standard"/>
    <w:next w:val="Standard"/>
    <w:uiPriority w:val="35"/>
    <w:semiHidden/>
    <w:unhideWhenUsed/>
    <w:qFormat/>
    <w:pPr>
      <w:spacing w:line="240" w:lineRule="auto"/>
    </w:pPr>
    <w:rPr>
      <w:b/>
      <w:bCs/>
      <w:smallCaps/>
      <w:color w:val="595959" w:themeColor="text1" w:themeTint="A6"/>
    </w:rPr>
  </w:style>
  <w:style w:type="paragraph" w:styleId="Titel">
    <w:name w:val="Title"/>
    <w:basedOn w:val="Standard"/>
    <w:next w:val="Standard"/>
    <w:link w:val="TitelZchn"/>
    <w:uiPriority w:val="10"/>
    <w:qFormat/>
    <w:pPr>
      <w:spacing w:after="0" w:line="240" w:lineRule="auto"/>
      <w:contextualSpacing/>
    </w:pPr>
    <w:rPr>
      <w:rFonts w:ascii="Calibri Light" w:eastAsia="Calibri Light" w:hAnsi="Calibri Light" w:cs="Calibri Light"/>
      <w:color w:val="262626" w:themeColor="text1" w:themeTint="D9"/>
      <w:spacing w:val="-13"/>
      <w:sz w:val="72"/>
      <w:szCs w:val="96"/>
    </w:rPr>
  </w:style>
  <w:style w:type="character" w:customStyle="1" w:styleId="TitelZchn">
    <w:name w:val="Titel Zchn"/>
    <w:basedOn w:val="Absatz-Standardschriftart"/>
    <w:link w:val="Titel"/>
    <w:uiPriority w:val="10"/>
    <w:rPr>
      <w:rFonts w:ascii="Calibri Light" w:eastAsia="Calibri Light" w:hAnsi="Calibri Light" w:cs="Calibri Light"/>
      <w:color w:val="262626" w:themeColor="text1" w:themeTint="D9"/>
      <w:spacing w:val="-13"/>
      <w:sz w:val="72"/>
      <w:szCs w:val="96"/>
    </w:rPr>
  </w:style>
  <w:style w:type="paragraph" w:styleId="Untertitel">
    <w:name w:val="Subtitle"/>
    <w:basedOn w:val="Standard"/>
    <w:next w:val="Standard"/>
    <w:link w:val="UntertitelZchn"/>
    <w:uiPriority w:val="11"/>
    <w:qFormat/>
    <w:pPr>
      <w:numPr>
        <w:ilvl w:val="1"/>
      </w:numPr>
      <w:spacing w:line="240" w:lineRule="auto"/>
    </w:pPr>
    <w:rPr>
      <w:rFonts w:ascii="Calibri Light" w:eastAsia="Calibri Light" w:hAnsi="Calibri Light" w:cs="Calibri Light"/>
      <w:sz w:val="30"/>
      <w:szCs w:val="30"/>
    </w:rPr>
  </w:style>
  <w:style w:type="character" w:customStyle="1" w:styleId="UntertitelZchn">
    <w:name w:val="Untertitel Zchn"/>
    <w:basedOn w:val="Absatz-Standardschriftart"/>
    <w:link w:val="Untertitel"/>
    <w:uiPriority w:val="11"/>
    <w:rPr>
      <w:rFonts w:ascii="Calibri Light" w:eastAsia="Calibri Light" w:hAnsi="Calibri Light" w:cs="Calibri Light"/>
      <w:sz w:val="30"/>
      <w:szCs w:val="30"/>
    </w:rPr>
  </w:style>
  <w:style w:type="character" w:styleId="Fett">
    <w:name w:val="Strong"/>
    <w:basedOn w:val="Absatz-Standardschriftart"/>
    <w:uiPriority w:val="22"/>
    <w:qFormat/>
    <w:rPr>
      <w:b/>
      <w:bCs/>
    </w:rPr>
  </w:style>
  <w:style w:type="character" w:styleId="Hervorhebung">
    <w:name w:val="Emphasis"/>
    <w:basedOn w:val="Absatz-Standardschriftart"/>
    <w:uiPriority w:val="20"/>
    <w:qFormat/>
    <w:rPr>
      <w:i/>
      <w:iCs/>
      <w:color w:val="70AD47" w:themeColor="accent6"/>
    </w:rPr>
  </w:style>
  <w:style w:type="paragraph" w:styleId="KeinLeerraum">
    <w:name w:val="No Spacing"/>
    <w:uiPriority w:val="1"/>
    <w:qFormat/>
    <w:pPr>
      <w:spacing w:after="0" w:line="240" w:lineRule="auto"/>
    </w:pPr>
  </w:style>
  <w:style w:type="paragraph" w:styleId="Zitat">
    <w:name w:val="Quote"/>
    <w:basedOn w:val="Standard"/>
    <w:next w:val="Standard"/>
    <w:link w:val="ZitatZchn"/>
    <w:uiPriority w:val="29"/>
    <w:qFormat/>
    <w:pPr>
      <w:spacing w:before="160"/>
      <w:ind w:left="720" w:right="720"/>
      <w:jc w:val="center"/>
    </w:pPr>
    <w:rPr>
      <w:i/>
      <w:iCs/>
      <w:color w:val="262626" w:themeColor="text1" w:themeTint="D9"/>
    </w:rPr>
  </w:style>
  <w:style w:type="character" w:customStyle="1" w:styleId="ZitatZchn">
    <w:name w:val="Zitat Zchn"/>
    <w:basedOn w:val="Absatz-Standardschriftart"/>
    <w:link w:val="Zitat"/>
    <w:uiPriority w:val="29"/>
    <w:rPr>
      <w:i/>
      <w:iCs/>
      <w:color w:val="262626" w:themeColor="text1" w:themeTint="D9"/>
    </w:rPr>
  </w:style>
  <w:style w:type="paragraph" w:styleId="IntensivesZitat">
    <w:name w:val="Intense Quote"/>
    <w:basedOn w:val="Standard"/>
    <w:next w:val="Standard"/>
    <w:link w:val="IntensivesZitatZchn"/>
    <w:uiPriority w:val="30"/>
    <w:qFormat/>
    <w:pPr>
      <w:spacing w:before="160" w:after="160" w:line="264" w:lineRule="auto"/>
      <w:ind w:left="720" w:right="720"/>
      <w:jc w:val="center"/>
    </w:pPr>
    <w:rPr>
      <w:rFonts w:ascii="Calibri Light" w:eastAsia="Calibri Light" w:hAnsi="Calibri Light" w:cs="Calibri Light"/>
      <w:i/>
      <w:iCs/>
      <w:color w:val="70AD47" w:themeColor="accent6"/>
      <w:sz w:val="32"/>
      <w:szCs w:val="32"/>
    </w:rPr>
  </w:style>
  <w:style w:type="character" w:customStyle="1" w:styleId="IntensivesZitatZchn">
    <w:name w:val="Intensives Zitat Zchn"/>
    <w:basedOn w:val="Absatz-Standardschriftart"/>
    <w:link w:val="IntensivesZitat"/>
    <w:uiPriority w:val="30"/>
    <w:rPr>
      <w:rFonts w:ascii="Calibri Light" w:eastAsia="Calibri Light" w:hAnsi="Calibri Light" w:cs="Calibri Light"/>
      <w:i/>
      <w:iCs/>
      <w:color w:val="70AD47" w:themeColor="accent6"/>
      <w:sz w:val="32"/>
      <w:szCs w:val="32"/>
    </w:rPr>
  </w:style>
  <w:style w:type="character" w:styleId="SchwacheHervorhebung">
    <w:name w:val="Subtle Emphasis"/>
    <w:basedOn w:val="Absatz-Standardschriftart"/>
    <w:uiPriority w:val="19"/>
    <w:qFormat/>
    <w:rPr>
      <w:i/>
      <w:iCs/>
    </w:rPr>
  </w:style>
  <w:style w:type="character" w:styleId="IntensiveHervorhebung">
    <w:name w:val="Intense Emphasis"/>
    <w:basedOn w:val="Absatz-Standardschriftart"/>
    <w:uiPriority w:val="21"/>
    <w:qFormat/>
    <w:rPr>
      <w:b/>
      <w:bCs/>
      <w:i/>
      <w:iCs/>
    </w:rPr>
  </w:style>
  <w:style w:type="character" w:styleId="SchwacherVerweis">
    <w:name w:val="Subtle Reference"/>
    <w:basedOn w:val="Absatz-Standardschriftart"/>
    <w:uiPriority w:val="31"/>
    <w:qFormat/>
    <w:rPr>
      <w:smallCaps/>
      <w:color w:val="595959" w:themeColor="text1" w:themeTint="A6"/>
    </w:rPr>
  </w:style>
  <w:style w:type="character" w:styleId="IntensiverVerweis">
    <w:name w:val="Intense Reference"/>
    <w:basedOn w:val="Absatz-Standardschriftart"/>
    <w:uiPriority w:val="32"/>
    <w:qFormat/>
    <w:rPr>
      <w:b/>
      <w:bCs/>
      <w:smallCaps/>
      <w:color w:val="70AD47" w:themeColor="accent6"/>
    </w:rPr>
  </w:style>
  <w:style w:type="character" w:styleId="Buchtitel">
    <w:name w:val="Book Title"/>
    <w:basedOn w:val="Absatz-Standardschriftart"/>
    <w:uiPriority w:val="33"/>
    <w:qFormat/>
    <w:rPr>
      <w:b/>
      <w:bCs/>
      <w:caps w:val="0"/>
      <w:smallCaps/>
      <w:spacing w:val="7"/>
      <w:sz w:val="21"/>
      <w:szCs w:val="21"/>
    </w:rPr>
  </w:style>
  <w:style w:type="paragraph" w:styleId="Inhaltsverzeichnisberschrift">
    <w:name w:val="TOC Heading"/>
    <w:basedOn w:val="berschrift1"/>
    <w:next w:val="Standard"/>
    <w:uiPriority w:val="39"/>
    <w:semiHidden/>
    <w:unhideWhenUsed/>
    <w:qFormat/>
    <w:pPr>
      <w:outlineLvl w:val="9"/>
    </w:p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563C1" w:themeColor="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selectable">
    <w:name w:val="selectable"/>
    <w:basedOn w:val="Absatz-Standardschriftart"/>
  </w:style>
  <w:style w:type="paragraph" w:styleId="StandardWeb">
    <w:name w:val="Normal (Web)"/>
    <w:basedOn w:val="Standard"/>
    <w:uiPriority w:val="99"/>
    <w:semiHidden/>
    <w:unhideWhenUse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8756B-355A-40AF-ABB9-66AB5A075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4416</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Lindsey bultema</dc:creator>
  <cp:lastModifiedBy>Charlotte Scheinpflug</cp:lastModifiedBy>
  <cp:revision>5</cp:revision>
  <cp:lastPrinted>2019-09-23T13:28:00Z</cp:lastPrinted>
  <dcterms:created xsi:type="dcterms:W3CDTF">2019-09-23T13:26:00Z</dcterms:created>
  <dcterms:modified xsi:type="dcterms:W3CDTF">2019-09-24T05:34:00Z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http://www.zotero.org/styles/microscopy-and-microanalysis</vt:lpwstr>
  </property>
  <property fmtid="{D5CDD505-2E9C-101B-9397-08002B2CF9AE}" pid="15" name="Mendeley Recent Style Name 6_1">
    <vt:lpwstr>Microscopy and Microanalysis</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3772a0bf-1c3f-3b12-a67a-6169055c8e00</vt:lpwstr>
  </property>
  <property fmtid="{D5CDD505-2E9C-101B-9397-08002B2CF9AE}" pid="24" name="Mendeley Citation Style_1">
    <vt:lpwstr>http://www.zotero.org/styles/microscopy-and-microanalysis</vt:lpwstr>
  </property>
</Properties>
</file>